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312" w:rsidRPr="002A3BBE" w:rsidRDefault="00A31312" w:rsidP="00305424">
      <w:pPr>
        <w:widowControl/>
        <w:snapToGrid w:val="0"/>
        <w:jc w:val="center"/>
        <w:rPr>
          <w:rFonts w:ascii="黑体" w:eastAsia="黑体" w:hAnsi="宋体" w:cs="宋体"/>
          <w:b/>
          <w:bCs/>
          <w:kern w:val="0"/>
          <w:sz w:val="32"/>
          <w:szCs w:val="32"/>
        </w:rPr>
      </w:pPr>
      <w:r w:rsidRPr="002A3BBE">
        <w:rPr>
          <w:rFonts w:ascii="黑体" w:eastAsia="黑体" w:hAnsi="宋体" w:cs="宋体" w:hint="eastAsia"/>
          <w:b/>
          <w:bCs/>
          <w:kern w:val="0"/>
          <w:sz w:val="32"/>
        </w:rPr>
        <w:t>关于做好江苏大学二〇一二年毕业设计（论文）工作的通知</w:t>
      </w:r>
    </w:p>
    <w:p w:rsidR="00A31312" w:rsidRPr="002A3BBE" w:rsidRDefault="00A31312" w:rsidP="00305424">
      <w:pPr>
        <w:widowControl/>
        <w:snapToGrid w:val="0"/>
        <w:jc w:val="left"/>
        <w:rPr>
          <w:rFonts w:ascii="宋体" w:cs="宋体"/>
          <w:kern w:val="0"/>
          <w:sz w:val="24"/>
          <w:szCs w:val="24"/>
        </w:rPr>
      </w:pPr>
    </w:p>
    <w:p w:rsidR="00A31312" w:rsidRPr="002A3BBE" w:rsidRDefault="00A31312" w:rsidP="00305424">
      <w:pPr>
        <w:widowControl/>
        <w:snapToGrid w:val="0"/>
        <w:spacing w:line="360" w:lineRule="auto"/>
        <w:jc w:val="left"/>
        <w:rPr>
          <w:rFonts w:ascii="宋体" w:cs="宋体"/>
          <w:kern w:val="0"/>
          <w:sz w:val="24"/>
          <w:szCs w:val="20"/>
        </w:rPr>
      </w:pPr>
      <w:r w:rsidRPr="002A3BBE">
        <w:rPr>
          <w:rFonts w:ascii="宋体" w:hAnsi="宋体" w:cs="宋体" w:hint="eastAsia"/>
          <w:kern w:val="0"/>
          <w:sz w:val="24"/>
          <w:szCs w:val="20"/>
        </w:rPr>
        <w:t>各院（系、部）：</w:t>
      </w:r>
    </w:p>
    <w:p w:rsidR="00A31312" w:rsidRPr="002A3BBE" w:rsidRDefault="00A31312" w:rsidP="00305424">
      <w:pPr>
        <w:widowControl/>
        <w:snapToGrid w:val="0"/>
        <w:spacing w:line="360" w:lineRule="auto"/>
        <w:ind w:firstLineChars="300" w:firstLine="31680"/>
        <w:jc w:val="left"/>
        <w:rPr>
          <w:rFonts w:ascii="宋体" w:cs="宋体"/>
          <w:kern w:val="0"/>
          <w:sz w:val="24"/>
          <w:szCs w:val="20"/>
        </w:rPr>
      </w:pPr>
      <w:r w:rsidRPr="002A3BBE">
        <w:rPr>
          <w:rFonts w:ascii="宋体" w:hAnsi="宋体" w:cs="宋体" w:hint="eastAsia"/>
          <w:kern w:val="0"/>
          <w:sz w:val="24"/>
          <w:szCs w:val="20"/>
        </w:rPr>
        <w:t>二〇一二年毕业生的学习已进入毕业设计（论文）教学环节，为了更好完成应届毕业生的教学工作，根据江苏大学继教院（</w:t>
      </w:r>
      <w:r w:rsidRPr="002A3BBE">
        <w:rPr>
          <w:rFonts w:ascii="宋体" w:hAnsi="宋体" w:cs="宋体"/>
          <w:kern w:val="0"/>
          <w:sz w:val="24"/>
          <w:szCs w:val="20"/>
        </w:rPr>
        <w:t>2009</w:t>
      </w:r>
      <w:r w:rsidRPr="002A3BBE">
        <w:rPr>
          <w:rFonts w:ascii="宋体" w:hAnsi="宋体" w:cs="宋体" w:hint="eastAsia"/>
          <w:kern w:val="0"/>
          <w:sz w:val="24"/>
          <w:szCs w:val="20"/>
        </w:rPr>
        <w:t>）</w:t>
      </w:r>
      <w:r w:rsidRPr="002A3BBE">
        <w:rPr>
          <w:rFonts w:ascii="宋体" w:hAnsi="宋体" w:cs="宋体"/>
          <w:kern w:val="0"/>
          <w:sz w:val="24"/>
          <w:szCs w:val="20"/>
        </w:rPr>
        <w:t>29</w:t>
      </w:r>
      <w:r w:rsidRPr="002A3BBE">
        <w:rPr>
          <w:rFonts w:ascii="宋体" w:hAnsi="宋体" w:cs="宋体" w:hint="eastAsia"/>
          <w:kern w:val="0"/>
          <w:sz w:val="24"/>
          <w:szCs w:val="20"/>
        </w:rPr>
        <w:t>号文件精神，现将有关事项通知如下：</w:t>
      </w:r>
    </w:p>
    <w:p w:rsidR="00A31312" w:rsidRPr="002A3BBE" w:rsidRDefault="00A31312" w:rsidP="00305424">
      <w:pPr>
        <w:widowControl/>
        <w:snapToGrid w:val="0"/>
        <w:spacing w:line="360" w:lineRule="auto"/>
        <w:ind w:firstLineChars="200" w:firstLine="31680"/>
        <w:jc w:val="left"/>
        <w:rPr>
          <w:rFonts w:ascii="宋体" w:cs="宋体"/>
          <w:kern w:val="0"/>
          <w:sz w:val="24"/>
          <w:szCs w:val="20"/>
        </w:rPr>
      </w:pPr>
      <w:r w:rsidRPr="002A3BBE">
        <w:rPr>
          <w:rFonts w:ascii="宋体" w:hAnsi="宋体" w:cs="宋体" w:hint="eastAsia"/>
          <w:kern w:val="0"/>
          <w:sz w:val="24"/>
          <w:szCs w:val="20"/>
        </w:rPr>
        <w:t>一、所有毕业生（专升本）的毕业设计（论文），必须由江苏大学指派的老师进行答辩或评审，成绩方能有效。</w:t>
      </w:r>
    </w:p>
    <w:p w:rsidR="00A31312" w:rsidRPr="002A3BBE" w:rsidRDefault="00A31312" w:rsidP="00305424">
      <w:pPr>
        <w:widowControl/>
        <w:snapToGrid w:val="0"/>
        <w:spacing w:line="360" w:lineRule="auto"/>
        <w:ind w:firstLineChars="200" w:firstLine="31680"/>
        <w:jc w:val="left"/>
        <w:rPr>
          <w:rFonts w:ascii="宋体" w:cs="宋体"/>
          <w:kern w:val="0"/>
          <w:sz w:val="24"/>
          <w:szCs w:val="20"/>
        </w:rPr>
      </w:pPr>
      <w:r w:rsidRPr="002A3BBE">
        <w:rPr>
          <w:rFonts w:ascii="宋体" w:hAnsi="宋体" w:cs="宋体" w:hint="eastAsia"/>
          <w:kern w:val="0"/>
          <w:sz w:val="24"/>
          <w:szCs w:val="20"/>
        </w:rPr>
        <w:t>二、请各院（系、部）根据自已的实际情况选择现场答辩、视频答辩或评审。选择视频答辩的必须配备视频教室，并得到江苏大学继教院的技术部门认可方可进行。</w:t>
      </w:r>
    </w:p>
    <w:p w:rsidR="00A31312" w:rsidRPr="002A3BBE" w:rsidRDefault="00A31312" w:rsidP="00305424">
      <w:pPr>
        <w:widowControl/>
        <w:snapToGrid w:val="0"/>
        <w:spacing w:line="360" w:lineRule="auto"/>
        <w:ind w:firstLineChars="200" w:firstLine="31680"/>
        <w:jc w:val="left"/>
        <w:rPr>
          <w:rFonts w:ascii="宋体" w:cs="宋体"/>
          <w:kern w:val="0"/>
          <w:sz w:val="24"/>
          <w:szCs w:val="20"/>
        </w:rPr>
      </w:pPr>
      <w:r w:rsidRPr="002A3BBE">
        <w:rPr>
          <w:rFonts w:ascii="宋体" w:hAnsi="宋体" w:cs="宋体" w:hint="eastAsia"/>
          <w:kern w:val="0"/>
          <w:sz w:val="24"/>
          <w:szCs w:val="20"/>
        </w:rPr>
        <w:t>三、请各院（系、部）认真填写《江苏大学本科毕业生毕业设计（论文）安排表》，与</w:t>
      </w:r>
      <w:r w:rsidRPr="002A3BBE">
        <w:rPr>
          <w:rFonts w:ascii="宋体" w:hAnsi="宋体" w:cs="宋体"/>
          <w:kern w:val="0"/>
          <w:sz w:val="24"/>
          <w:szCs w:val="20"/>
        </w:rPr>
        <w:t>6</w:t>
      </w:r>
      <w:r w:rsidRPr="002A3BBE">
        <w:rPr>
          <w:rFonts w:ascii="宋体" w:hAnsi="宋体" w:cs="宋体" w:hint="eastAsia"/>
          <w:kern w:val="0"/>
          <w:sz w:val="24"/>
          <w:szCs w:val="20"/>
        </w:rPr>
        <w:t>月</w:t>
      </w:r>
      <w:r w:rsidRPr="002A3BBE">
        <w:rPr>
          <w:rFonts w:ascii="宋体" w:hAnsi="宋体" w:cs="宋体"/>
          <w:kern w:val="0"/>
          <w:sz w:val="24"/>
          <w:szCs w:val="20"/>
        </w:rPr>
        <w:t>10</w:t>
      </w:r>
      <w:r w:rsidRPr="002A3BBE">
        <w:rPr>
          <w:rFonts w:ascii="宋体" w:hAnsi="宋体" w:cs="宋体" w:hint="eastAsia"/>
          <w:kern w:val="0"/>
          <w:sz w:val="24"/>
          <w:szCs w:val="20"/>
        </w:rPr>
        <w:t>日前上报。</w:t>
      </w:r>
    </w:p>
    <w:p w:rsidR="00A31312" w:rsidRPr="002A3BBE" w:rsidRDefault="00A31312" w:rsidP="00305424">
      <w:pPr>
        <w:widowControl/>
        <w:snapToGrid w:val="0"/>
        <w:spacing w:line="360" w:lineRule="auto"/>
        <w:ind w:firstLineChars="200" w:firstLine="31680"/>
        <w:jc w:val="left"/>
        <w:rPr>
          <w:rFonts w:ascii="宋体" w:cs="宋体"/>
          <w:kern w:val="0"/>
          <w:sz w:val="24"/>
          <w:szCs w:val="20"/>
        </w:rPr>
      </w:pPr>
      <w:r w:rsidRPr="002A3BBE">
        <w:rPr>
          <w:rFonts w:ascii="宋体" w:hAnsi="宋体" w:cs="宋体" w:hint="eastAsia"/>
          <w:kern w:val="0"/>
          <w:sz w:val="24"/>
          <w:szCs w:val="20"/>
        </w:rPr>
        <w:t>四、请各院（系、部）认真对照各专业的教学计划，注意教学内容是否按时完成。选修课的开课门数也应按照教学计划落实。</w:t>
      </w:r>
    </w:p>
    <w:p w:rsidR="00A31312" w:rsidRPr="002A3BBE" w:rsidRDefault="00A31312" w:rsidP="00305424">
      <w:pPr>
        <w:widowControl/>
        <w:snapToGrid w:val="0"/>
        <w:spacing w:line="360" w:lineRule="auto"/>
        <w:ind w:firstLineChars="200" w:firstLine="31680"/>
        <w:jc w:val="left"/>
        <w:rPr>
          <w:rFonts w:ascii="宋体" w:cs="宋体"/>
          <w:kern w:val="0"/>
          <w:sz w:val="24"/>
          <w:szCs w:val="20"/>
        </w:rPr>
      </w:pPr>
      <w:r w:rsidRPr="002A3BBE">
        <w:rPr>
          <w:rFonts w:ascii="宋体" w:hAnsi="宋体" w:cs="宋体" w:hint="eastAsia"/>
          <w:kern w:val="0"/>
          <w:sz w:val="24"/>
          <w:szCs w:val="20"/>
        </w:rPr>
        <w:t>五、毕业设计（论文）的工作布置应在暑假前完成，请各院（系、部）根据各自的具体情况安排好进度，保证毕业设计（论文）工作顺利完成。</w:t>
      </w:r>
    </w:p>
    <w:p w:rsidR="00A31312" w:rsidRPr="002A3BBE" w:rsidRDefault="00A31312" w:rsidP="00305424">
      <w:pPr>
        <w:widowControl/>
        <w:snapToGrid w:val="0"/>
        <w:spacing w:line="360" w:lineRule="auto"/>
        <w:jc w:val="left"/>
        <w:rPr>
          <w:rFonts w:ascii="宋体" w:cs="宋体"/>
          <w:kern w:val="0"/>
          <w:sz w:val="24"/>
          <w:szCs w:val="20"/>
        </w:rPr>
      </w:pPr>
      <w:r w:rsidRPr="002A3BBE">
        <w:rPr>
          <w:rFonts w:ascii="宋体" w:hAnsi="宋体" w:cs="宋体"/>
          <w:kern w:val="0"/>
          <w:sz w:val="24"/>
          <w:szCs w:val="20"/>
        </w:rPr>
        <w:t xml:space="preserve">  </w:t>
      </w:r>
    </w:p>
    <w:p w:rsidR="00A31312" w:rsidRPr="002A3BBE" w:rsidRDefault="00A31312" w:rsidP="00305424">
      <w:pPr>
        <w:widowControl/>
        <w:snapToGrid w:val="0"/>
        <w:spacing w:line="360" w:lineRule="auto"/>
        <w:jc w:val="left"/>
        <w:rPr>
          <w:rFonts w:ascii="宋体" w:cs="宋体"/>
          <w:kern w:val="0"/>
          <w:sz w:val="24"/>
          <w:szCs w:val="20"/>
        </w:rPr>
      </w:pPr>
    </w:p>
    <w:p w:rsidR="00A31312" w:rsidRPr="002A3BBE" w:rsidRDefault="00A31312" w:rsidP="00305424">
      <w:pPr>
        <w:widowControl/>
        <w:snapToGrid w:val="0"/>
        <w:spacing w:line="360" w:lineRule="auto"/>
        <w:jc w:val="left"/>
        <w:rPr>
          <w:rFonts w:ascii="宋体" w:cs="宋体"/>
          <w:kern w:val="0"/>
          <w:sz w:val="24"/>
          <w:szCs w:val="20"/>
        </w:rPr>
      </w:pPr>
      <w:r w:rsidRPr="002A3BBE">
        <w:rPr>
          <w:rFonts w:ascii="宋体" w:hAnsi="宋体" w:cs="宋体" w:hint="eastAsia"/>
          <w:kern w:val="0"/>
          <w:sz w:val="24"/>
          <w:szCs w:val="20"/>
        </w:rPr>
        <w:t>附件：江苏大学本科毕业生毕业设计（论文）安排表</w:t>
      </w:r>
    </w:p>
    <w:p w:rsidR="00A31312" w:rsidRPr="002A3BBE" w:rsidRDefault="00A31312" w:rsidP="00305424">
      <w:pPr>
        <w:widowControl/>
        <w:snapToGrid w:val="0"/>
        <w:spacing w:line="360" w:lineRule="auto"/>
        <w:ind w:firstLineChars="2000" w:firstLine="31680"/>
        <w:jc w:val="right"/>
        <w:rPr>
          <w:rFonts w:ascii="宋体" w:cs="宋体"/>
          <w:kern w:val="0"/>
          <w:sz w:val="24"/>
          <w:szCs w:val="20"/>
        </w:rPr>
      </w:pPr>
      <w:r w:rsidRPr="002A3BBE">
        <w:rPr>
          <w:rFonts w:ascii="宋体" w:hAnsi="宋体" w:cs="宋体" w:hint="eastAsia"/>
          <w:kern w:val="0"/>
          <w:sz w:val="24"/>
          <w:szCs w:val="20"/>
        </w:rPr>
        <w:t>二〇一一年五月二十日</w:t>
      </w:r>
    </w:p>
    <w:p w:rsidR="00A31312" w:rsidRDefault="00A31312"/>
    <w:p w:rsidR="00A31312" w:rsidRDefault="00A31312"/>
    <w:p w:rsidR="00A31312" w:rsidRPr="002A3BBE" w:rsidRDefault="00A31312" w:rsidP="00305424">
      <w:pPr>
        <w:widowControl/>
        <w:snapToGrid w:val="0"/>
        <w:spacing w:line="360" w:lineRule="auto"/>
        <w:jc w:val="center"/>
        <w:rPr>
          <w:rFonts w:ascii="黑体" w:eastAsia="黑体" w:hAnsi="宋体" w:cs="宋体"/>
          <w:kern w:val="0"/>
          <w:sz w:val="44"/>
          <w:szCs w:val="44"/>
        </w:rPr>
      </w:pPr>
      <w:r w:rsidRPr="002A3BBE">
        <w:rPr>
          <w:rFonts w:ascii="黑体" w:eastAsia="黑体" w:hAnsi="宋体" w:cs="宋体" w:hint="eastAsia"/>
          <w:kern w:val="0"/>
          <w:sz w:val="44"/>
          <w:szCs w:val="44"/>
        </w:rPr>
        <w:t>关于函授站、教学点毕业设计（论文）评审和视频答辩流程的补充说明</w:t>
      </w:r>
    </w:p>
    <w:p w:rsidR="00A31312" w:rsidRPr="002A3BBE" w:rsidRDefault="00A31312" w:rsidP="00305424">
      <w:pPr>
        <w:widowControl/>
        <w:snapToGrid w:val="0"/>
        <w:spacing w:line="360" w:lineRule="auto"/>
        <w:ind w:firstLine="420"/>
        <w:jc w:val="left"/>
        <w:rPr>
          <w:rFonts w:ascii="宋体" w:cs="宋体"/>
          <w:kern w:val="0"/>
          <w:sz w:val="24"/>
          <w:szCs w:val="24"/>
        </w:rPr>
      </w:pPr>
      <w:r w:rsidRPr="002A3BBE">
        <w:rPr>
          <w:rFonts w:ascii="Times New Roman" w:hAnsi="Times New Roman" w:cs="宋体" w:hint="eastAsia"/>
          <w:kern w:val="0"/>
          <w:sz w:val="24"/>
          <w:szCs w:val="24"/>
        </w:rPr>
        <w:t>为贯彻“以人为本”的教学理念和稳定教学提升内涵的办学方针，充分利用网络资源和现代化教学手段，积极推进函授教学改革，根据我院</w:t>
      </w:r>
      <w:r w:rsidRPr="002A3BBE">
        <w:rPr>
          <w:rFonts w:ascii="Times New Roman" w:hAnsi="Times New Roman"/>
          <w:kern w:val="0"/>
          <w:sz w:val="24"/>
          <w:szCs w:val="24"/>
        </w:rPr>
        <w:t>2009</w:t>
      </w:r>
      <w:r w:rsidRPr="002A3BBE">
        <w:rPr>
          <w:rFonts w:ascii="Times New Roman" w:hAnsi="Times New Roman" w:cs="宋体" w:hint="eastAsia"/>
          <w:kern w:val="0"/>
          <w:sz w:val="24"/>
          <w:szCs w:val="24"/>
        </w:rPr>
        <w:t>（</w:t>
      </w:r>
      <w:r w:rsidRPr="002A3BBE">
        <w:rPr>
          <w:rFonts w:ascii="Times New Roman" w:hAnsi="Times New Roman"/>
          <w:kern w:val="0"/>
          <w:sz w:val="24"/>
          <w:szCs w:val="24"/>
        </w:rPr>
        <w:t>29</w:t>
      </w:r>
      <w:r w:rsidRPr="002A3BBE">
        <w:rPr>
          <w:rFonts w:ascii="Times New Roman" w:hAnsi="Times New Roman" w:cs="宋体" w:hint="eastAsia"/>
          <w:kern w:val="0"/>
          <w:sz w:val="24"/>
          <w:szCs w:val="24"/>
        </w:rPr>
        <w:t>）号文和</w:t>
      </w:r>
      <w:r w:rsidRPr="002A3BBE">
        <w:rPr>
          <w:rFonts w:ascii="Times New Roman" w:hAnsi="Times New Roman"/>
          <w:kern w:val="0"/>
          <w:sz w:val="24"/>
          <w:szCs w:val="24"/>
        </w:rPr>
        <w:t>2010</w:t>
      </w:r>
      <w:r w:rsidRPr="002A3BBE">
        <w:rPr>
          <w:rFonts w:ascii="Times New Roman" w:hAnsi="Times New Roman" w:cs="宋体" w:hint="eastAsia"/>
          <w:kern w:val="0"/>
          <w:sz w:val="24"/>
          <w:szCs w:val="24"/>
        </w:rPr>
        <w:t>（</w:t>
      </w:r>
      <w:r w:rsidRPr="002A3BBE">
        <w:rPr>
          <w:rFonts w:ascii="Times New Roman" w:hAnsi="Times New Roman"/>
          <w:kern w:val="0"/>
          <w:sz w:val="24"/>
          <w:szCs w:val="24"/>
        </w:rPr>
        <w:t>06</w:t>
      </w:r>
      <w:r w:rsidRPr="002A3BBE">
        <w:rPr>
          <w:rFonts w:ascii="Times New Roman" w:hAnsi="Times New Roman" w:cs="宋体" w:hint="eastAsia"/>
          <w:kern w:val="0"/>
          <w:sz w:val="24"/>
          <w:szCs w:val="24"/>
        </w:rPr>
        <w:t>）号文的精神，从</w:t>
      </w:r>
      <w:r w:rsidRPr="002A3BBE">
        <w:rPr>
          <w:rFonts w:ascii="Times New Roman" w:hAnsi="Times New Roman"/>
          <w:kern w:val="0"/>
          <w:sz w:val="24"/>
          <w:szCs w:val="24"/>
        </w:rPr>
        <w:t>2010</w:t>
      </w:r>
      <w:r w:rsidRPr="002A3BBE">
        <w:rPr>
          <w:rFonts w:ascii="Times New Roman" w:hAnsi="Times New Roman" w:cs="宋体" w:hint="eastAsia"/>
          <w:kern w:val="0"/>
          <w:sz w:val="24"/>
          <w:szCs w:val="24"/>
        </w:rPr>
        <w:t>年开始，我院学历教育学生毕业设计（论文）的评定采取现场答辩、论文评审和视频答辩等三种方法。现就有关论文评审和视频答辩实施的具体问题作以下几点说明：</w:t>
      </w:r>
    </w:p>
    <w:p w:rsidR="00A31312" w:rsidRPr="002A3BBE" w:rsidRDefault="00A31312" w:rsidP="00305424">
      <w:pPr>
        <w:widowControl/>
        <w:tabs>
          <w:tab w:val="num" w:pos="360"/>
        </w:tabs>
        <w:snapToGrid w:val="0"/>
        <w:spacing w:line="360" w:lineRule="auto"/>
        <w:ind w:left="360" w:hanging="360"/>
        <w:jc w:val="left"/>
        <w:rPr>
          <w:rFonts w:ascii="宋体" w:cs="宋体"/>
          <w:kern w:val="0"/>
          <w:sz w:val="24"/>
          <w:szCs w:val="24"/>
        </w:rPr>
      </w:pPr>
      <w:r w:rsidRPr="002A3BBE">
        <w:rPr>
          <w:rFonts w:ascii="Times New Roman" w:hAnsi="Times New Roman"/>
          <w:kern w:val="0"/>
          <w:sz w:val="24"/>
          <w:szCs w:val="24"/>
        </w:rPr>
        <w:t>1</w:t>
      </w:r>
      <w:r w:rsidRPr="002A3BBE">
        <w:rPr>
          <w:rFonts w:ascii="宋体" w:hAnsi="宋体" w:cs="宋体" w:hint="eastAsia"/>
          <w:kern w:val="0"/>
          <w:sz w:val="24"/>
          <w:szCs w:val="24"/>
        </w:rPr>
        <w:t>、</w:t>
      </w:r>
      <w:r w:rsidRPr="002A3BBE">
        <w:rPr>
          <w:rFonts w:ascii="Times New Roman" w:hAnsi="Times New Roman"/>
          <w:kern w:val="0"/>
          <w:sz w:val="14"/>
          <w:szCs w:val="14"/>
        </w:rPr>
        <w:t xml:space="preserve">  </w:t>
      </w:r>
      <w:r w:rsidRPr="002A3BBE">
        <w:rPr>
          <w:rFonts w:ascii="Times New Roman" w:hAnsi="Times New Roman" w:cs="宋体" w:hint="eastAsia"/>
          <w:kern w:val="0"/>
          <w:sz w:val="24"/>
          <w:szCs w:val="24"/>
        </w:rPr>
        <w:t>论文评审和视频答辩的对象和范围</w:t>
      </w: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cs="宋体" w:hint="eastAsia"/>
          <w:kern w:val="0"/>
          <w:sz w:val="24"/>
          <w:szCs w:val="24"/>
        </w:rPr>
        <w:t>论文评审和视频答辩主要针对函授站点专业人数少（一般少于</w:t>
      </w:r>
      <w:r w:rsidRPr="002A3BBE">
        <w:rPr>
          <w:rFonts w:ascii="Times New Roman" w:hAnsi="Times New Roman"/>
          <w:kern w:val="0"/>
          <w:sz w:val="24"/>
          <w:szCs w:val="24"/>
        </w:rPr>
        <w:t>10</w:t>
      </w:r>
      <w:r w:rsidRPr="002A3BBE">
        <w:rPr>
          <w:rFonts w:ascii="Times New Roman" w:hAnsi="Times New Roman" w:cs="宋体" w:hint="eastAsia"/>
          <w:kern w:val="0"/>
          <w:sz w:val="24"/>
          <w:szCs w:val="24"/>
        </w:rPr>
        <w:t>人）的专业采取的论文评定办法，论文评审和视频答辩都是由函授站点统一申请上报，申请论文评审的同学不得申请学士学位。</w:t>
      </w:r>
    </w:p>
    <w:p w:rsidR="00A31312" w:rsidRPr="002A3BBE" w:rsidRDefault="00A31312" w:rsidP="00305424">
      <w:pPr>
        <w:widowControl/>
        <w:snapToGrid w:val="0"/>
        <w:spacing w:line="360" w:lineRule="auto"/>
        <w:jc w:val="left"/>
        <w:rPr>
          <w:rFonts w:ascii="宋体" w:cs="宋体"/>
          <w:kern w:val="0"/>
          <w:sz w:val="24"/>
          <w:szCs w:val="24"/>
        </w:rPr>
      </w:pPr>
      <w:r w:rsidRPr="002A3BBE">
        <w:rPr>
          <w:rFonts w:ascii="Times New Roman" w:hAnsi="Times New Roman"/>
          <w:kern w:val="0"/>
          <w:sz w:val="24"/>
          <w:szCs w:val="24"/>
        </w:rPr>
        <w:t>2</w:t>
      </w:r>
      <w:r w:rsidRPr="002A3BBE">
        <w:rPr>
          <w:rFonts w:ascii="Times New Roman" w:hAnsi="Times New Roman" w:cs="宋体" w:hint="eastAsia"/>
          <w:kern w:val="0"/>
          <w:sz w:val="24"/>
          <w:szCs w:val="24"/>
        </w:rPr>
        <w:t>、论文评审和视频答辩的要求和流程</w:t>
      </w: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cs="宋体" w:hint="eastAsia"/>
          <w:kern w:val="0"/>
          <w:sz w:val="24"/>
          <w:szCs w:val="24"/>
        </w:rPr>
        <w:t>无论是采取论文评审还是视频答辩，毕业设计（论文）要求一致，必须经过开题、指导、预审等一系列教学环节。申请视频答辩的站点必须具备必要的硬件条件和技术保障、还必须进行试运行并得到我院技术部门的认可。专业人数在</w:t>
      </w:r>
      <w:r w:rsidRPr="002A3BBE">
        <w:rPr>
          <w:rFonts w:ascii="Times New Roman" w:hAnsi="Times New Roman"/>
          <w:kern w:val="0"/>
          <w:sz w:val="24"/>
          <w:szCs w:val="24"/>
        </w:rPr>
        <w:t>10</w:t>
      </w:r>
      <w:r w:rsidRPr="002A3BBE">
        <w:rPr>
          <w:rFonts w:ascii="Times New Roman" w:hAnsi="Times New Roman" w:cs="宋体" w:hint="eastAsia"/>
          <w:kern w:val="0"/>
          <w:sz w:val="24"/>
          <w:szCs w:val="24"/>
        </w:rPr>
        <w:t>人及以上者，原则上仍采取现场答辩方法进行，最终评定方式必须在论文开题前由函授站点按专业统一汇总并申请上报，继续教育学院根据各专业具体情况确定，评定方式一旦确定不可随意更改。</w:t>
      </w:r>
    </w:p>
    <w:p w:rsidR="00A31312" w:rsidRPr="002A3BBE" w:rsidRDefault="00A31312" w:rsidP="00305424">
      <w:pPr>
        <w:widowControl/>
        <w:tabs>
          <w:tab w:val="num" w:pos="360"/>
        </w:tabs>
        <w:snapToGrid w:val="0"/>
        <w:spacing w:line="360" w:lineRule="auto"/>
        <w:ind w:left="360" w:hanging="360"/>
        <w:jc w:val="left"/>
        <w:rPr>
          <w:rFonts w:ascii="宋体" w:cs="宋体"/>
          <w:kern w:val="0"/>
          <w:sz w:val="24"/>
          <w:szCs w:val="24"/>
        </w:rPr>
      </w:pPr>
      <w:r w:rsidRPr="002A3BBE">
        <w:rPr>
          <w:rFonts w:ascii="Times New Roman" w:hAnsi="Times New Roman"/>
          <w:kern w:val="0"/>
          <w:sz w:val="24"/>
          <w:szCs w:val="24"/>
        </w:rPr>
        <w:t>3</w:t>
      </w:r>
      <w:r w:rsidRPr="002A3BBE">
        <w:rPr>
          <w:rFonts w:ascii="宋体" w:hAnsi="宋体" w:cs="宋体" w:hint="eastAsia"/>
          <w:kern w:val="0"/>
          <w:sz w:val="24"/>
          <w:szCs w:val="24"/>
        </w:rPr>
        <w:t>、</w:t>
      </w:r>
      <w:r w:rsidRPr="002A3BBE">
        <w:rPr>
          <w:rFonts w:ascii="Times New Roman" w:hAnsi="Times New Roman"/>
          <w:kern w:val="0"/>
          <w:sz w:val="14"/>
          <w:szCs w:val="14"/>
        </w:rPr>
        <w:t xml:space="preserve">  </w:t>
      </w:r>
      <w:r w:rsidRPr="002A3BBE">
        <w:rPr>
          <w:rFonts w:ascii="Times New Roman" w:hAnsi="Times New Roman" w:cs="宋体" w:hint="eastAsia"/>
          <w:kern w:val="0"/>
          <w:sz w:val="24"/>
          <w:szCs w:val="24"/>
        </w:rPr>
        <w:t>论文评审和视频答辩的成绩评定</w:t>
      </w: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cs="宋体" w:hint="eastAsia"/>
          <w:kern w:val="0"/>
          <w:sz w:val="24"/>
          <w:szCs w:val="24"/>
        </w:rPr>
        <w:t>论文评审成绩评定分为合格和不合格两种，视频答辩成绩分优、良、中、及格和不及格五种。成绩不合格或不及格者，必须重做，随下一届毕业生完成，评定方式随下一届重新申请确定，补做的论文成绩最高评为及格或合格。</w:t>
      </w:r>
    </w:p>
    <w:p w:rsidR="00A31312" w:rsidRPr="002A3BBE" w:rsidRDefault="00A31312" w:rsidP="00305424">
      <w:pPr>
        <w:widowControl/>
        <w:tabs>
          <w:tab w:val="num" w:pos="360"/>
        </w:tabs>
        <w:snapToGrid w:val="0"/>
        <w:spacing w:line="360" w:lineRule="auto"/>
        <w:ind w:left="360" w:hanging="360"/>
        <w:jc w:val="left"/>
        <w:rPr>
          <w:rFonts w:ascii="宋体" w:cs="宋体"/>
          <w:kern w:val="0"/>
          <w:sz w:val="24"/>
          <w:szCs w:val="24"/>
        </w:rPr>
      </w:pPr>
      <w:r w:rsidRPr="002A3BBE">
        <w:rPr>
          <w:rFonts w:ascii="Times New Roman" w:hAnsi="Times New Roman"/>
          <w:kern w:val="0"/>
          <w:sz w:val="24"/>
          <w:szCs w:val="24"/>
        </w:rPr>
        <w:t>4</w:t>
      </w:r>
      <w:r w:rsidRPr="002A3BBE">
        <w:rPr>
          <w:rFonts w:ascii="宋体" w:hAnsi="宋体" w:cs="宋体" w:hint="eastAsia"/>
          <w:kern w:val="0"/>
          <w:sz w:val="24"/>
          <w:szCs w:val="24"/>
        </w:rPr>
        <w:t>、</w:t>
      </w:r>
      <w:r w:rsidRPr="002A3BBE">
        <w:rPr>
          <w:rFonts w:ascii="Times New Roman" w:hAnsi="Times New Roman"/>
          <w:kern w:val="0"/>
          <w:sz w:val="14"/>
          <w:szCs w:val="14"/>
        </w:rPr>
        <w:t xml:space="preserve">  </w:t>
      </w:r>
      <w:r w:rsidRPr="002A3BBE">
        <w:rPr>
          <w:rFonts w:ascii="Times New Roman" w:hAnsi="Times New Roman" w:cs="宋体" w:hint="eastAsia"/>
          <w:kern w:val="0"/>
          <w:sz w:val="24"/>
          <w:szCs w:val="24"/>
        </w:rPr>
        <w:t>论文评审和视频答辩的的费用说明</w:t>
      </w: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cs="宋体" w:hint="eastAsia"/>
          <w:kern w:val="0"/>
          <w:sz w:val="24"/>
          <w:szCs w:val="24"/>
        </w:rPr>
        <w:t>论文评审费和视频答辩费分别按每生</w:t>
      </w:r>
      <w:r w:rsidRPr="002A3BBE">
        <w:rPr>
          <w:rFonts w:ascii="Times New Roman" w:hAnsi="Times New Roman"/>
          <w:kern w:val="0"/>
          <w:sz w:val="24"/>
          <w:szCs w:val="24"/>
        </w:rPr>
        <w:t>100</w:t>
      </w:r>
      <w:r w:rsidRPr="002A3BBE">
        <w:rPr>
          <w:rFonts w:ascii="Times New Roman" w:hAnsi="Times New Roman" w:cs="宋体" w:hint="eastAsia"/>
          <w:kern w:val="0"/>
          <w:sz w:val="24"/>
          <w:szCs w:val="24"/>
        </w:rPr>
        <w:t>元和</w:t>
      </w:r>
      <w:r w:rsidRPr="002A3BBE">
        <w:rPr>
          <w:rFonts w:ascii="Times New Roman" w:hAnsi="Times New Roman"/>
          <w:kern w:val="0"/>
          <w:sz w:val="24"/>
          <w:szCs w:val="24"/>
        </w:rPr>
        <w:t>120</w:t>
      </w:r>
      <w:r w:rsidRPr="002A3BBE">
        <w:rPr>
          <w:rFonts w:ascii="Times New Roman" w:hAnsi="Times New Roman" w:cs="宋体" w:hint="eastAsia"/>
          <w:kern w:val="0"/>
          <w:sz w:val="24"/>
          <w:szCs w:val="24"/>
        </w:rPr>
        <w:t>元支付教师酬金，论文答辩、评审费用支出应从教学成本中开支，不得另向学生收取。</w:t>
      </w:r>
    </w:p>
    <w:p w:rsidR="00A31312" w:rsidRDefault="00A31312" w:rsidP="00305424">
      <w:pPr>
        <w:widowControl/>
        <w:snapToGrid w:val="0"/>
        <w:spacing w:line="360" w:lineRule="auto"/>
        <w:ind w:firstLine="360"/>
        <w:jc w:val="left"/>
        <w:rPr>
          <w:rFonts w:ascii="宋体" w:cs="宋体"/>
          <w:kern w:val="0"/>
          <w:sz w:val="24"/>
          <w:szCs w:val="24"/>
        </w:rPr>
      </w:pP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cs="宋体" w:hint="eastAsia"/>
          <w:kern w:val="0"/>
          <w:sz w:val="24"/>
          <w:szCs w:val="24"/>
        </w:rPr>
        <w:t>江苏大学继续教育学院</w:t>
      </w:r>
    </w:p>
    <w:p w:rsidR="00A31312" w:rsidRPr="002A3BBE" w:rsidRDefault="00A31312" w:rsidP="00305424">
      <w:pPr>
        <w:widowControl/>
        <w:snapToGrid w:val="0"/>
        <w:spacing w:line="360" w:lineRule="auto"/>
        <w:ind w:firstLine="360"/>
        <w:jc w:val="left"/>
        <w:rPr>
          <w:rFonts w:ascii="宋体" w:cs="宋体"/>
          <w:kern w:val="0"/>
          <w:sz w:val="24"/>
          <w:szCs w:val="24"/>
        </w:rPr>
      </w:pPr>
      <w:r w:rsidRPr="002A3BBE">
        <w:rPr>
          <w:rFonts w:ascii="Times New Roman" w:hAnsi="Times New Roman"/>
          <w:kern w:val="0"/>
          <w:sz w:val="24"/>
          <w:szCs w:val="24"/>
        </w:rPr>
        <w:t>2010</w:t>
      </w:r>
      <w:r w:rsidRPr="002A3BBE">
        <w:rPr>
          <w:rFonts w:ascii="Times New Roman" w:hAnsi="Times New Roman" w:cs="宋体" w:hint="eastAsia"/>
          <w:kern w:val="0"/>
          <w:sz w:val="24"/>
          <w:szCs w:val="24"/>
        </w:rPr>
        <w:t>年</w:t>
      </w:r>
      <w:r w:rsidRPr="002A3BBE">
        <w:rPr>
          <w:rFonts w:ascii="Times New Roman" w:hAnsi="Times New Roman"/>
          <w:kern w:val="0"/>
          <w:sz w:val="24"/>
          <w:szCs w:val="24"/>
        </w:rPr>
        <w:t>4</w:t>
      </w:r>
      <w:r w:rsidRPr="002A3BBE">
        <w:rPr>
          <w:rFonts w:ascii="Times New Roman" w:hAnsi="Times New Roman" w:cs="宋体" w:hint="eastAsia"/>
          <w:kern w:val="0"/>
          <w:sz w:val="24"/>
          <w:szCs w:val="24"/>
        </w:rPr>
        <w:t>月</w:t>
      </w:r>
      <w:r w:rsidRPr="002A3BBE">
        <w:rPr>
          <w:rFonts w:ascii="Times New Roman" w:hAnsi="Times New Roman"/>
          <w:kern w:val="0"/>
          <w:sz w:val="24"/>
          <w:szCs w:val="24"/>
        </w:rPr>
        <w:t>26</w:t>
      </w:r>
      <w:r w:rsidRPr="002A3BBE">
        <w:rPr>
          <w:rFonts w:ascii="Times New Roman" w:hAnsi="Times New Roman" w:cs="宋体" w:hint="eastAsia"/>
          <w:kern w:val="0"/>
          <w:sz w:val="24"/>
          <w:szCs w:val="24"/>
        </w:rPr>
        <w:t>日</w:t>
      </w:r>
    </w:p>
    <w:p w:rsidR="00A31312" w:rsidRDefault="00A31312"/>
    <w:tbl>
      <w:tblPr>
        <w:tblW w:w="5000" w:type="pct"/>
        <w:tblLook w:val="00A0"/>
      </w:tblPr>
      <w:tblGrid>
        <w:gridCol w:w="777"/>
        <w:gridCol w:w="777"/>
        <w:gridCol w:w="777"/>
        <w:gridCol w:w="1514"/>
        <w:gridCol w:w="966"/>
        <w:gridCol w:w="893"/>
        <w:gridCol w:w="777"/>
        <w:gridCol w:w="1260"/>
        <w:gridCol w:w="781"/>
      </w:tblGrid>
      <w:tr w:rsidR="00A31312" w:rsidRPr="00925E48" w:rsidTr="00305424">
        <w:trPr>
          <w:trHeight w:val="623"/>
        </w:trPr>
        <w:tc>
          <w:tcPr>
            <w:tcW w:w="5000" w:type="pct"/>
            <w:gridSpan w:val="9"/>
            <w:noWrap/>
            <w:vAlign w:val="center"/>
          </w:tcPr>
          <w:p w:rsidR="00A31312" w:rsidRPr="002A3BBE" w:rsidRDefault="00A31312" w:rsidP="00305424">
            <w:pPr>
              <w:widowControl/>
              <w:jc w:val="center"/>
              <w:rPr>
                <w:rFonts w:ascii="宋体" w:cs="宋体"/>
                <w:b/>
                <w:bCs/>
                <w:kern w:val="0"/>
                <w:sz w:val="32"/>
                <w:szCs w:val="32"/>
              </w:rPr>
            </w:pPr>
            <w:r w:rsidRPr="002A3BBE">
              <w:rPr>
                <w:rFonts w:ascii="宋体" w:hAnsi="宋体" w:cs="宋体" w:hint="eastAsia"/>
                <w:b/>
                <w:bCs/>
                <w:kern w:val="0"/>
                <w:sz w:val="32"/>
                <w:szCs w:val="32"/>
              </w:rPr>
              <w:t>江苏大学本科毕业生毕业设计（论文）安排表</w:t>
            </w:r>
          </w:p>
        </w:tc>
      </w:tr>
      <w:tr w:rsidR="00A31312" w:rsidRPr="00925E48" w:rsidTr="00305424">
        <w:trPr>
          <w:trHeight w:val="640"/>
        </w:trPr>
        <w:tc>
          <w:tcPr>
            <w:tcW w:w="5000" w:type="pct"/>
            <w:gridSpan w:val="9"/>
            <w:noWrap/>
            <w:vAlign w:val="center"/>
          </w:tcPr>
          <w:p w:rsidR="00A31312" w:rsidRPr="002A3BBE" w:rsidRDefault="00A31312" w:rsidP="00305424">
            <w:pPr>
              <w:widowControl/>
              <w:jc w:val="center"/>
              <w:rPr>
                <w:rFonts w:ascii="宋体" w:cs="宋体"/>
                <w:b/>
                <w:bCs/>
                <w:kern w:val="0"/>
                <w:sz w:val="24"/>
                <w:szCs w:val="24"/>
              </w:rPr>
            </w:pPr>
            <w:r w:rsidRPr="002A3BBE">
              <w:rPr>
                <w:rFonts w:ascii="宋体" w:hAnsi="宋体" w:cs="宋体" w:hint="eastAsia"/>
                <w:b/>
                <w:bCs/>
                <w:kern w:val="0"/>
                <w:sz w:val="24"/>
                <w:szCs w:val="24"/>
              </w:rPr>
              <w:t>函授站点：泰州职业技术学院</w:t>
            </w:r>
          </w:p>
        </w:tc>
      </w:tr>
      <w:tr w:rsidR="00A31312" w:rsidRPr="00925E48" w:rsidTr="00305424">
        <w:trPr>
          <w:trHeight w:val="765"/>
        </w:trPr>
        <w:tc>
          <w:tcPr>
            <w:tcW w:w="456" w:type="pct"/>
            <w:tcBorders>
              <w:top w:val="single" w:sz="4" w:space="0" w:color="auto"/>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序号</w:t>
            </w:r>
          </w:p>
        </w:tc>
        <w:tc>
          <w:tcPr>
            <w:tcW w:w="456" w:type="pct"/>
            <w:tcBorders>
              <w:top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专业</w:t>
            </w:r>
          </w:p>
        </w:tc>
        <w:tc>
          <w:tcPr>
            <w:tcW w:w="456" w:type="pct"/>
            <w:tcBorders>
              <w:top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人数</w:t>
            </w:r>
          </w:p>
        </w:tc>
        <w:tc>
          <w:tcPr>
            <w:tcW w:w="888" w:type="pct"/>
            <w:tcBorders>
              <w:top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是否需要派</w:t>
            </w:r>
            <w:r w:rsidRPr="002A3BBE">
              <w:rPr>
                <w:rFonts w:ascii="宋体" w:cs="宋体"/>
                <w:kern w:val="0"/>
                <w:sz w:val="24"/>
                <w:szCs w:val="24"/>
              </w:rPr>
              <w:br/>
            </w:r>
            <w:r w:rsidRPr="002A3BBE">
              <w:rPr>
                <w:rFonts w:ascii="宋体" w:hAnsi="宋体" w:cs="宋体" w:hint="eastAsia"/>
                <w:kern w:val="0"/>
                <w:sz w:val="24"/>
                <w:szCs w:val="24"/>
              </w:rPr>
              <w:t>老师指导</w:t>
            </w:r>
          </w:p>
        </w:tc>
        <w:tc>
          <w:tcPr>
            <w:tcW w:w="567" w:type="pct"/>
            <w:tcBorders>
              <w:top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现场</w:t>
            </w:r>
            <w:r w:rsidRPr="002A3BBE">
              <w:rPr>
                <w:rFonts w:ascii="宋体" w:cs="宋体"/>
                <w:kern w:val="0"/>
                <w:sz w:val="24"/>
                <w:szCs w:val="24"/>
              </w:rPr>
              <w:br/>
            </w:r>
            <w:r w:rsidRPr="002A3BBE">
              <w:rPr>
                <w:rFonts w:ascii="宋体" w:hAnsi="宋体" w:cs="宋体" w:hint="eastAsia"/>
                <w:kern w:val="0"/>
                <w:sz w:val="24"/>
                <w:szCs w:val="24"/>
              </w:rPr>
              <w:t>答辩</w:t>
            </w:r>
          </w:p>
        </w:tc>
        <w:tc>
          <w:tcPr>
            <w:tcW w:w="524" w:type="pct"/>
            <w:tcBorders>
              <w:top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视频</w:t>
            </w:r>
            <w:r w:rsidRPr="002A3BBE">
              <w:rPr>
                <w:rFonts w:ascii="宋体" w:cs="宋体"/>
                <w:kern w:val="0"/>
                <w:sz w:val="24"/>
                <w:szCs w:val="24"/>
              </w:rPr>
              <w:br/>
            </w:r>
            <w:r w:rsidRPr="002A3BBE">
              <w:rPr>
                <w:rFonts w:ascii="宋体" w:hAnsi="宋体" w:cs="宋体" w:hint="eastAsia"/>
                <w:kern w:val="0"/>
                <w:sz w:val="24"/>
                <w:szCs w:val="24"/>
              </w:rPr>
              <w:t>答辩</w:t>
            </w:r>
          </w:p>
        </w:tc>
        <w:tc>
          <w:tcPr>
            <w:tcW w:w="456" w:type="pct"/>
            <w:tcBorders>
              <w:top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评审</w:t>
            </w:r>
          </w:p>
        </w:tc>
        <w:tc>
          <w:tcPr>
            <w:tcW w:w="739" w:type="pct"/>
            <w:tcBorders>
              <w:top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拟答辩</w:t>
            </w:r>
            <w:r w:rsidRPr="002A3BBE">
              <w:rPr>
                <w:rFonts w:ascii="宋体" w:cs="宋体"/>
                <w:kern w:val="0"/>
                <w:sz w:val="24"/>
                <w:szCs w:val="24"/>
              </w:rPr>
              <w:br/>
            </w:r>
            <w:r w:rsidRPr="002A3BBE">
              <w:rPr>
                <w:rFonts w:ascii="宋体" w:hAnsi="宋体" w:cs="宋体" w:hint="eastAsia"/>
                <w:kern w:val="0"/>
                <w:sz w:val="24"/>
                <w:szCs w:val="24"/>
              </w:rPr>
              <w:t>时间</w:t>
            </w:r>
          </w:p>
        </w:tc>
        <w:tc>
          <w:tcPr>
            <w:tcW w:w="457" w:type="pct"/>
            <w:tcBorders>
              <w:top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hint="eastAsia"/>
                <w:kern w:val="0"/>
                <w:sz w:val="24"/>
                <w:szCs w:val="24"/>
              </w:rPr>
              <w:t>备注</w:t>
            </w: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1</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val="restart"/>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2011</w:t>
            </w:r>
            <w:r w:rsidRPr="002A3BBE">
              <w:rPr>
                <w:rFonts w:ascii="宋体" w:hAnsi="宋体" w:cs="宋体" w:hint="eastAsia"/>
                <w:kern w:val="0"/>
                <w:sz w:val="24"/>
                <w:szCs w:val="24"/>
              </w:rPr>
              <w:t>年</w:t>
            </w:r>
            <w:r w:rsidRPr="002A3BBE">
              <w:rPr>
                <w:rFonts w:ascii="宋体" w:cs="宋体"/>
                <w:kern w:val="0"/>
                <w:sz w:val="24"/>
                <w:szCs w:val="24"/>
              </w:rPr>
              <w:br/>
            </w:r>
            <w:r w:rsidRPr="002A3BBE">
              <w:rPr>
                <w:rFonts w:ascii="宋体" w:hAnsi="宋体" w:cs="宋体"/>
                <w:kern w:val="0"/>
                <w:sz w:val="24"/>
                <w:szCs w:val="24"/>
              </w:rPr>
              <w:t>11</w:t>
            </w:r>
            <w:r w:rsidRPr="002A3BBE">
              <w:rPr>
                <w:rFonts w:ascii="宋体" w:hAnsi="宋体" w:cs="宋体" w:hint="eastAsia"/>
                <w:kern w:val="0"/>
                <w:sz w:val="24"/>
                <w:szCs w:val="24"/>
              </w:rPr>
              <w:t>月</w:t>
            </w:r>
          </w:p>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2</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3</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4</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5</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6</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7</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8</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9</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499"/>
        </w:trPr>
        <w:tc>
          <w:tcPr>
            <w:tcW w:w="456" w:type="pct"/>
            <w:tcBorders>
              <w:left w:val="single" w:sz="4" w:space="0" w:color="auto"/>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r w:rsidRPr="002A3BBE">
              <w:rPr>
                <w:rFonts w:ascii="宋体" w:hAnsi="宋体" w:cs="宋体"/>
                <w:kern w:val="0"/>
                <w:sz w:val="24"/>
                <w:szCs w:val="24"/>
              </w:rPr>
              <w:t>10</w:t>
            </w: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888"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6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524"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456"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c>
          <w:tcPr>
            <w:tcW w:w="739" w:type="pct"/>
            <w:vMerge/>
            <w:tcBorders>
              <w:left w:val="single" w:sz="4" w:space="0" w:color="auto"/>
              <w:bottom w:val="single" w:sz="4" w:space="0" w:color="auto"/>
              <w:right w:val="single" w:sz="4" w:space="0" w:color="auto"/>
            </w:tcBorders>
            <w:vAlign w:val="center"/>
          </w:tcPr>
          <w:p w:rsidR="00A31312" w:rsidRPr="002A3BBE" w:rsidRDefault="00A31312" w:rsidP="00305424">
            <w:pPr>
              <w:widowControl/>
              <w:jc w:val="center"/>
              <w:rPr>
                <w:rFonts w:ascii="宋体" w:cs="宋体"/>
                <w:kern w:val="0"/>
                <w:sz w:val="24"/>
                <w:szCs w:val="24"/>
              </w:rPr>
            </w:pPr>
          </w:p>
        </w:tc>
        <w:tc>
          <w:tcPr>
            <w:tcW w:w="457" w:type="pct"/>
            <w:tcBorders>
              <w:bottom w:val="single" w:sz="4" w:space="0" w:color="auto"/>
              <w:right w:val="single" w:sz="4" w:space="0" w:color="auto"/>
            </w:tcBorders>
            <w:noWrap/>
            <w:vAlign w:val="center"/>
          </w:tcPr>
          <w:p w:rsidR="00A31312" w:rsidRPr="002A3BBE" w:rsidRDefault="00A31312" w:rsidP="00305424">
            <w:pPr>
              <w:widowControl/>
              <w:jc w:val="center"/>
              <w:rPr>
                <w:rFonts w:ascii="宋体" w:cs="宋体"/>
                <w:kern w:val="0"/>
                <w:sz w:val="24"/>
                <w:szCs w:val="24"/>
              </w:rPr>
            </w:pPr>
          </w:p>
        </w:tc>
      </w:tr>
      <w:tr w:rsidR="00A31312" w:rsidRPr="00925E48" w:rsidTr="00305424">
        <w:trPr>
          <w:trHeight w:val="690"/>
        </w:trPr>
        <w:tc>
          <w:tcPr>
            <w:tcW w:w="5000" w:type="pct"/>
            <w:gridSpan w:val="9"/>
            <w:tcBorders>
              <w:top w:val="single" w:sz="4" w:space="0" w:color="auto"/>
            </w:tcBorders>
            <w:noWrap/>
            <w:vAlign w:val="center"/>
          </w:tcPr>
          <w:p w:rsidR="00A31312" w:rsidRPr="002A3BBE" w:rsidRDefault="00A31312" w:rsidP="00305424">
            <w:pPr>
              <w:widowControl/>
              <w:jc w:val="center"/>
              <w:rPr>
                <w:rFonts w:ascii="宋体" w:cs="宋体"/>
                <w:b/>
                <w:bCs/>
                <w:kern w:val="0"/>
                <w:sz w:val="24"/>
                <w:szCs w:val="24"/>
              </w:rPr>
            </w:pPr>
            <w:r w:rsidRPr="002A3BBE">
              <w:rPr>
                <w:rFonts w:ascii="宋体" w:hAnsi="宋体" w:cs="宋体" w:hint="eastAsia"/>
                <w:b/>
                <w:bCs/>
                <w:kern w:val="0"/>
                <w:sz w:val="24"/>
                <w:szCs w:val="24"/>
              </w:rPr>
              <w:t>填表人：</w:t>
            </w:r>
            <w:r w:rsidRPr="002A3BBE">
              <w:rPr>
                <w:rFonts w:ascii="宋体" w:hAnsi="宋体" w:cs="宋体"/>
                <w:b/>
                <w:bCs/>
                <w:kern w:val="0"/>
                <w:sz w:val="24"/>
                <w:szCs w:val="24"/>
              </w:rPr>
              <w:t xml:space="preserve">                                               </w:t>
            </w:r>
            <w:r w:rsidRPr="002A3BBE">
              <w:rPr>
                <w:rFonts w:ascii="宋体" w:hAnsi="宋体" w:cs="宋体" w:hint="eastAsia"/>
                <w:b/>
                <w:bCs/>
                <w:kern w:val="0"/>
                <w:sz w:val="24"/>
                <w:szCs w:val="24"/>
              </w:rPr>
              <w:t>日期：</w:t>
            </w:r>
          </w:p>
        </w:tc>
      </w:tr>
    </w:tbl>
    <w:p w:rsidR="00A31312" w:rsidRDefault="00A31312"/>
    <w:sectPr w:rsidR="00A31312" w:rsidSect="000618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3BBE"/>
    <w:rsid w:val="00061884"/>
    <w:rsid w:val="00194872"/>
    <w:rsid w:val="002A3BBE"/>
    <w:rsid w:val="00305424"/>
    <w:rsid w:val="00925E48"/>
    <w:rsid w:val="00A31312"/>
    <w:rsid w:val="00C95525"/>
    <w:rsid w:val="00CE4AE0"/>
    <w:rsid w:val="00DE1B14"/>
    <w:rsid w:val="00F1069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42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2A3BBE"/>
    <w:pPr>
      <w:widowControl/>
      <w:spacing w:before="100" w:beforeAutospacing="1" w:after="100" w:afterAutospacing="1"/>
      <w:jc w:val="left"/>
    </w:pPr>
    <w:rPr>
      <w:rFonts w:ascii="宋体" w:hAnsi="宋体" w:cs="宋体"/>
      <w:kern w:val="0"/>
      <w:sz w:val="24"/>
      <w:szCs w:val="24"/>
    </w:rPr>
  </w:style>
  <w:style w:type="character" w:customStyle="1" w:styleId="BodyTextChar">
    <w:name w:val="Body Text Char"/>
    <w:basedOn w:val="DefaultParagraphFont"/>
    <w:link w:val="BodyText"/>
    <w:uiPriority w:val="99"/>
    <w:semiHidden/>
    <w:locked/>
    <w:rsid w:val="002A3BBE"/>
    <w:rPr>
      <w:rFonts w:ascii="宋体" w:eastAsia="宋体" w:hAnsi="宋体" w:cs="宋体"/>
      <w:kern w:val="0"/>
      <w:sz w:val="24"/>
      <w:szCs w:val="24"/>
    </w:rPr>
  </w:style>
  <w:style w:type="character" w:styleId="Strong">
    <w:name w:val="Strong"/>
    <w:basedOn w:val="DefaultParagraphFont"/>
    <w:uiPriority w:val="99"/>
    <w:qFormat/>
    <w:rsid w:val="002A3BBE"/>
    <w:rPr>
      <w:rFonts w:cs="Times New Roman"/>
      <w:b/>
      <w:bCs/>
    </w:rPr>
  </w:style>
</w:styles>
</file>

<file path=word/webSettings.xml><?xml version="1.0" encoding="utf-8"?>
<w:webSettings xmlns:r="http://schemas.openxmlformats.org/officeDocument/2006/relationships" xmlns:w="http://schemas.openxmlformats.org/wordprocessingml/2006/main">
  <w:divs>
    <w:div w:id="226579049">
      <w:marLeft w:val="0"/>
      <w:marRight w:val="0"/>
      <w:marTop w:val="0"/>
      <w:marBottom w:val="0"/>
      <w:divBdr>
        <w:top w:val="none" w:sz="0" w:space="0" w:color="auto"/>
        <w:left w:val="none" w:sz="0" w:space="0" w:color="auto"/>
        <w:bottom w:val="none" w:sz="0" w:space="0" w:color="auto"/>
        <w:right w:val="none" w:sz="0" w:space="0" w:color="auto"/>
      </w:divBdr>
      <w:divsChild>
        <w:div w:id="226579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215</Words>
  <Characters>1232</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2</cp:revision>
  <dcterms:created xsi:type="dcterms:W3CDTF">2012-10-18T09:05:00Z</dcterms:created>
  <dcterms:modified xsi:type="dcterms:W3CDTF">2012-10-24T01:17:00Z</dcterms:modified>
</cp:coreProperties>
</file>