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3B4" w:rsidRDefault="009923B4" w:rsidP="00B4322A">
      <w:pPr>
        <w:jc w:val="center"/>
        <w:rPr>
          <w:rFonts w:ascii="黑体" w:eastAsia="黑体" w:hAnsi="宋体" w:cs="宋体"/>
          <w:b/>
          <w:bCs/>
          <w:color w:val="333333"/>
          <w:kern w:val="0"/>
          <w:sz w:val="36"/>
          <w:szCs w:val="36"/>
        </w:rPr>
      </w:pPr>
      <w:r w:rsidRPr="007F678E">
        <w:rPr>
          <w:rFonts w:ascii="黑体" w:eastAsia="黑体" w:hAnsi="宋体" w:cs="宋体" w:hint="eastAsia"/>
          <w:b/>
          <w:bCs/>
          <w:color w:val="333333"/>
          <w:kern w:val="0"/>
          <w:sz w:val="36"/>
          <w:szCs w:val="36"/>
        </w:rPr>
        <w:t>关于</w:t>
      </w:r>
      <w:r w:rsidRPr="007F678E">
        <w:rPr>
          <w:rFonts w:ascii="黑体" w:eastAsia="黑体" w:hAnsi="宋体" w:cs="宋体"/>
          <w:b/>
          <w:bCs/>
          <w:color w:val="333333"/>
          <w:kern w:val="0"/>
          <w:sz w:val="36"/>
          <w:szCs w:val="36"/>
        </w:rPr>
        <w:t>2010</w:t>
      </w:r>
      <w:r w:rsidRPr="007F678E">
        <w:rPr>
          <w:rFonts w:ascii="黑体" w:eastAsia="黑体" w:hAnsi="宋体" w:cs="宋体" w:hint="eastAsia"/>
          <w:b/>
          <w:bCs/>
          <w:color w:val="333333"/>
          <w:kern w:val="0"/>
          <w:sz w:val="36"/>
          <w:szCs w:val="36"/>
        </w:rPr>
        <w:t>年成人高等教育新增专业申报的通知（截止时间</w:t>
      </w:r>
      <w:r w:rsidRPr="007F678E">
        <w:rPr>
          <w:rFonts w:ascii="黑体" w:eastAsia="黑体" w:hAnsi="宋体" w:cs="宋体"/>
          <w:b/>
          <w:bCs/>
          <w:color w:val="333333"/>
          <w:kern w:val="0"/>
          <w:sz w:val="36"/>
          <w:szCs w:val="36"/>
        </w:rPr>
        <w:t>2010</w:t>
      </w:r>
      <w:r w:rsidRPr="007F678E">
        <w:rPr>
          <w:rFonts w:ascii="黑体" w:eastAsia="黑体" w:hAnsi="宋体" w:cs="宋体" w:hint="eastAsia"/>
          <w:b/>
          <w:bCs/>
          <w:color w:val="333333"/>
          <w:kern w:val="0"/>
          <w:sz w:val="36"/>
          <w:szCs w:val="36"/>
        </w:rPr>
        <w:t>年</w:t>
      </w:r>
      <w:r w:rsidRPr="007F678E">
        <w:rPr>
          <w:rFonts w:ascii="黑体" w:eastAsia="黑体" w:hAnsi="宋体" w:cs="宋体"/>
          <w:b/>
          <w:bCs/>
          <w:color w:val="333333"/>
          <w:kern w:val="0"/>
          <w:sz w:val="36"/>
          <w:szCs w:val="36"/>
        </w:rPr>
        <w:t>3</w:t>
      </w:r>
      <w:r w:rsidRPr="007F678E">
        <w:rPr>
          <w:rFonts w:ascii="黑体" w:eastAsia="黑体" w:hAnsi="宋体" w:cs="宋体" w:hint="eastAsia"/>
          <w:b/>
          <w:bCs/>
          <w:color w:val="333333"/>
          <w:kern w:val="0"/>
          <w:sz w:val="36"/>
          <w:szCs w:val="36"/>
        </w:rPr>
        <w:t>月</w:t>
      </w:r>
      <w:r w:rsidRPr="007F678E">
        <w:rPr>
          <w:rFonts w:ascii="黑体" w:eastAsia="黑体" w:hAnsi="宋体" w:cs="宋体"/>
          <w:b/>
          <w:bCs/>
          <w:color w:val="333333"/>
          <w:kern w:val="0"/>
          <w:sz w:val="36"/>
          <w:szCs w:val="36"/>
        </w:rPr>
        <w:t>15</w:t>
      </w:r>
      <w:r w:rsidRPr="007F678E">
        <w:rPr>
          <w:rFonts w:ascii="黑体" w:eastAsia="黑体" w:hAnsi="宋体" w:cs="宋体" w:hint="eastAsia"/>
          <w:b/>
          <w:bCs/>
          <w:color w:val="333333"/>
          <w:kern w:val="0"/>
          <w:sz w:val="36"/>
          <w:szCs w:val="36"/>
        </w:rPr>
        <w:t>日）</w:t>
      </w:r>
    </w:p>
    <w:p w:rsidR="009923B4" w:rsidRPr="007F678E" w:rsidRDefault="009923B4" w:rsidP="00B4322A">
      <w:pPr>
        <w:widowControl/>
        <w:adjustRightInd w:val="0"/>
        <w:snapToGrid w:val="0"/>
        <w:spacing w:afterLines="100" w:line="360" w:lineRule="auto"/>
        <w:jc w:val="center"/>
        <w:rPr>
          <w:rFonts w:ascii="黑体" w:eastAsia="黑体" w:hAnsi="华文宋体" w:cs="宋体"/>
          <w:kern w:val="0"/>
          <w:sz w:val="36"/>
          <w:szCs w:val="44"/>
        </w:rPr>
      </w:pPr>
      <w:r w:rsidRPr="007F678E">
        <w:rPr>
          <w:rFonts w:ascii="黑体" w:eastAsia="黑体" w:hAnsi="华文宋体" w:cs="宋体" w:hint="eastAsia"/>
          <w:kern w:val="0"/>
          <w:sz w:val="36"/>
          <w:szCs w:val="44"/>
        </w:rPr>
        <w:t>江苏省成人高等教育专业建设指南</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hint="eastAsia"/>
          <w:kern w:val="0"/>
          <w:sz w:val="24"/>
          <w:szCs w:val="32"/>
        </w:rPr>
        <w:t>专业建设是成人高等教育深化教学改革、提高教学质量强化办学特色的重要基础工作。为了进一步加强成人高等教育质量内涵建设，规范专业管理，优化专业结构，突出专业特色，提高建设水平，为</w:t>
      </w:r>
      <w:r w:rsidRPr="007F678E">
        <w:rPr>
          <w:rFonts w:ascii="宋体" w:hAnsi="宋体" w:cs="宋体" w:hint="eastAsia"/>
          <w:bCs/>
          <w:kern w:val="0"/>
          <w:sz w:val="24"/>
          <w:szCs w:val="32"/>
        </w:rPr>
        <w:t>建设终身教育体系</w:t>
      </w:r>
      <w:r w:rsidRPr="007F678E">
        <w:rPr>
          <w:rFonts w:ascii="宋体" w:hAnsi="宋体" w:cs="宋体" w:hint="eastAsia"/>
          <w:kern w:val="0"/>
          <w:sz w:val="24"/>
          <w:szCs w:val="32"/>
        </w:rPr>
        <w:t>、构建学习型社会、建设教育强省服务，特制定本专业建设指南。本指南适用于江苏各级各类成人高等教育。</w:t>
      </w:r>
    </w:p>
    <w:p w:rsidR="009923B4" w:rsidRPr="007F678E" w:rsidRDefault="009923B4" w:rsidP="00B4322A">
      <w:pPr>
        <w:widowControl/>
        <w:adjustRightInd w:val="0"/>
        <w:snapToGrid w:val="0"/>
        <w:spacing w:line="360" w:lineRule="auto"/>
        <w:ind w:firstLineChars="200" w:firstLine="31680"/>
        <w:jc w:val="left"/>
        <w:rPr>
          <w:rFonts w:ascii="宋体" w:cs="宋体"/>
          <w:b/>
          <w:kern w:val="0"/>
          <w:sz w:val="28"/>
          <w:szCs w:val="32"/>
        </w:rPr>
      </w:pPr>
      <w:r w:rsidRPr="007F678E">
        <w:rPr>
          <w:rFonts w:ascii="宋体" w:hAnsi="宋体" w:cs="宋体" w:hint="eastAsia"/>
          <w:b/>
          <w:kern w:val="0"/>
          <w:sz w:val="28"/>
          <w:szCs w:val="32"/>
        </w:rPr>
        <w:t>一、专业建设</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hint="eastAsia"/>
          <w:kern w:val="0"/>
          <w:sz w:val="24"/>
          <w:szCs w:val="32"/>
        </w:rPr>
        <w:t>成人高等教育专业建设是一项长期的、基础性的工作，既要充分吸收普通高等教育专业建设的成果，更要体现成人高等教育的特色。</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hint="eastAsia"/>
          <w:kern w:val="0"/>
          <w:sz w:val="24"/>
          <w:szCs w:val="32"/>
        </w:rPr>
        <w:t>（一）专业建设指导思想</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hint="eastAsia"/>
          <w:kern w:val="0"/>
          <w:sz w:val="24"/>
          <w:szCs w:val="32"/>
        </w:rPr>
        <w:t>成人高等教育专业建设应以社会需求为导向，以提高在职从业人员知识、能力、素质为目标，突出职业性、针对性、实用性、开放性的特点，以课程建设和师资队伍建设为重点，以人才培养模式创新为动力，加强产学结合、工学结合，充分利用现代信息技术手段，在优质资源建设、课程体系改革、教学模式创新和成人特色凝炼上下功夫，以特色提高质量，提升水平，塑造品牌，形成优势。</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hint="eastAsia"/>
          <w:kern w:val="0"/>
          <w:sz w:val="24"/>
          <w:szCs w:val="32"/>
        </w:rPr>
        <w:t>（二）专业建设内容</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bCs/>
          <w:kern w:val="0"/>
          <w:sz w:val="24"/>
          <w:szCs w:val="32"/>
        </w:rPr>
        <w:t>1.</w:t>
      </w:r>
      <w:r w:rsidRPr="007F678E">
        <w:rPr>
          <w:rFonts w:ascii="宋体" w:hAnsi="宋体" w:cs="宋体" w:hint="eastAsia"/>
          <w:bCs/>
          <w:kern w:val="0"/>
          <w:sz w:val="24"/>
          <w:szCs w:val="32"/>
        </w:rPr>
        <w:t>科学制订教学计划。</w:t>
      </w:r>
      <w:r w:rsidRPr="007F678E">
        <w:rPr>
          <w:rFonts w:ascii="宋体" w:hAnsi="宋体" w:cs="宋体" w:hint="eastAsia"/>
          <w:kern w:val="0"/>
          <w:sz w:val="24"/>
          <w:szCs w:val="32"/>
        </w:rPr>
        <w:t>首先要明确专业培养目标和培养规格。培养目标与培养规格是专业建设的主要依据与基本质量标准。相关专业人才培养目标与培养规格的确定要经过广泛深入地调查研究，符合时代要求和社会发展需要，符合人才培养规律，突出相关职业对知识、能力、素质的要求，注重知识、能力、素质协调发展，有利于科学人文素质的提高，有利于创新精神、实践能力和创业能力的培养。成人高等教育相关专业的基本规格要注重体现成人高等教育的特点，做到职业与岗位定位准确，学科与专业定位准确，层次与类型定位准确。其次要优化课程设置。教学内容和课程体系要符合培养目标与培养规格的要求，既保证教育质量又具有成人高等教育的特点；要深化教学内容与课程体系的改革，注重课程设置的整体优化，使得教学内容体现时代性、实用性和科学性；在教学安排上，要体现函授、业余、脱产等成人高等教育办学形式的特点。</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bCs/>
          <w:kern w:val="0"/>
          <w:sz w:val="24"/>
          <w:szCs w:val="32"/>
        </w:rPr>
        <w:t>2.</w:t>
      </w:r>
      <w:r w:rsidRPr="007F678E">
        <w:rPr>
          <w:rFonts w:ascii="宋体" w:hAnsi="宋体" w:cs="宋体" w:hint="eastAsia"/>
          <w:bCs/>
          <w:kern w:val="0"/>
          <w:sz w:val="24"/>
          <w:szCs w:val="32"/>
        </w:rPr>
        <w:t>加强课程建设。</w:t>
      </w:r>
      <w:r w:rsidRPr="007F678E">
        <w:rPr>
          <w:rFonts w:ascii="宋体" w:hAnsi="宋体" w:cs="宋体" w:hint="eastAsia"/>
          <w:kern w:val="0"/>
          <w:sz w:val="24"/>
          <w:szCs w:val="32"/>
        </w:rPr>
        <w:t>课程建设是专业建设的基础。应大力开发符合培养目标、体现成人高等教育特点的课程体系与精品课程群。认真设计结构完整、内容新颖、体例规范、体现课程设计目标及符合各类成人高等教育学习对象、学习层次和学习形式的课程教学大纲。注重编写具有江苏成人高等教育特色的高水平教材，尤其突出案例教学与实验环节，适合继续教育的特点与要求。积极运用现代化教学手段，建设远程网络教育平台，开发多媒体课件与网络课程，实现优质课程资源网上共享。函授教育要编写适合学生自学的高质量的自学指导书，主要课程上网开放，供学生自主学习。加强实践教学环节，开足开好实验、实训和实习课程，保证开出率达</w:t>
      </w:r>
      <w:r w:rsidRPr="007F678E">
        <w:rPr>
          <w:rFonts w:ascii="宋体" w:hAnsi="宋体" w:cs="宋体"/>
          <w:kern w:val="0"/>
          <w:sz w:val="24"/>
          <w:szCs w:val="32"/>
        </w:rPr>
        <w:t>100%</w:t>
      </w:r>
      <w:r w:rsidRPr="007F678E">
        <w:rPr>
          <w:rFonts w:ascii="宋体" w:hAnsi="宋体" w:cs="宋体" w:hint="eastAsia"/>
          <w:kern w:val="0"/>
          <w:sz w:val="24"/>
          <w:szCs w:val="32"/>
        </w:rPr>
        <w:t>。</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bCs/>
          <w:kern w:val="0"/>
          <w:sz w:val="24"/>
          <w:szCs w:val="32"/>
        </w:rPr>
        <w:t>3.</w:t>
      </w:r>
      <w:r w:rsidRPr="007F678E">
        <w:rPr>
          <w:rFonts w:ascii="宋体" w:hAnsi="宋体" w:cs="宋体" w:hint="eastAsia"/>
          <w:bCs/>
          <w:kern w:val="0"/>
          <w:sz w:val="24"/>
          <w:szCs w:val="32"/>
        </w:rPr>
        <w:t>创新人才培养模式。</w:t>
      </w:r>
      <w:r w:rsidRPr="007F678E">
        <w:rPr>
          <w:rFonts w:ascii="宋体" w:hAnsi="宋体" w:cs="宋体" w:hint="eastAsia"/>
          <w:kern w:val="0"/>
          <w:sz w:val="24"/>
          <w:szCs w:val="32"/>
        </w:rPr>
        <w:t>以学生为主体，促进学生自主学习，培养学生的学习能力。推进产学结合、工学结合的人才培养模式，培养学生的实践能力和创新精神。积极运用现代信息技术手段，建立虚拟学习社区，实现模拟实验和技能训练，实现师生互动和学生互动，提高学习效果，解决工学矛盾。</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bCs/>
          <w:kern w:val="0"/>
          <w:sz w:val="24"/>
          <w:szCs w:val="32"/>
        </w:rPr>
        <w:t>4.</w:t>
      </w:r>
      <w:r w:rsidRPr="007F678E">
        <w:rPr>
          <w:rFonts w:ascii="宋体" w:hAnsi="宋体" w:cs="宋体" w:hint="eastAsia"/>
          <w:bCs/>
          <w:kern w:val="0"/>
          <w:sz w:val="24"/>
          <w:szCs w:val="32"/>
        </w:rPr>
        <w:t>加强师资队伍建设。</w:t>
      </w:r>
      <w:r w:rsidRPr="007F678E">
        <w:rPr>
          <w:rFonts w:ascii="宋体" w:hAnsi="宋体" w:cs="宋体" w:hint="eastAsia"/>
          <w:kern w:val="0"/>
          <w:sz w:val="24"/>
          <w:szCs w:val="32"/>
        </w:rPr>
        <w:t>高素质的教师队伍是提高专业建设水平的关键。要努力建立一支数量、职称、学历、年龄结构合理、富有活力的成人高等教育专兼职教师队伍。推进专业建设负责人制度，遴选在成人高等教育教学改革与专业建设等方面富有经验、具有副高以上专业技术职务的教学骨干担任专业建设负责人，负责相关专业的建设工作。聘请行业、企业的能工巧匠、技术能手、工艺大师和经营管理专家担任兼职教师，不断完善兼职教师管理制度。注重专业带头人、学术骨干和青年教师的培养培训工作，促进成人高等教育教师更新教育理念，加强师德建设，提高职业素质。</w:t>
      </w:r>
    </w:p>
    <w:p w:rsidR="009923B4" w:rsidRPr="007F678E" w:rsidRDefault="009923B4" w:rsidP="00B4322A">
      <w:pPr>
        <w:widowControl/>
        <w:adjustRightInd w:val="0"/>
        <w:snapToGrid w:val="0"/>
        <w:spacing w:line="360" w:lineRule="auto"/>
        <w:ind w:firstLineChars="200" w:firstLine="31680"/>
        <w:jc w:val="left"/>
        <w:rPr>
          <w:rFonts w:ascii="宋体" w:cs="宋体"/>
          <w:b/>
          <w:kern w:val="0"/>
          <w:sz w:val="28"/>
          <w:szCs w:val="32"/>
        </w:rPr>
      </w:pPr>
      <w:r w:rsidRPr="007F678E">
        <w:rPr>
          <w:rFonts w:ascii="宋体" w:hAnsi="宋体" w:cs="宋体" w:hint="eastAsia"/>
          <w:b/>
          <w:kern w:val="0"/>
          <w:sz w:val="28"/>
          <w:szCs w:val="32"/>
        </w:rPr>
        <w:t>二、特色专业</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21"/>
        </w:rPr>
      </w:pPr>
      <w:r w:rsidRPr="007F678E">
        <w:rPr>
          <w:rFonts w:ascii="宋体" w:hAnsi="宋体" w:cs="宋体" w:hint="eastAsia"/>
          <w:kern w:val="0"/>
          <w:sz w:val="24"/>
          <w:szCs w:val="32"/>
        </w:rPr>
        <w:t>（一）成人高等教育特色专业建设关键是充分体现江苏</w:t>
      </w:r>
      <w:r w:rsidRPr="007F678E">
        <w:rPr>
          <w:rFonts w:ascii="宋体" w:hAnsi="宋体" w:cs="宋体" w:hint="eastAsia"/>
          <w:kern w:val="0"/>
          <w:sz w:val="24"/>
          <w:szCs w:val="21"/>
        </w:rPr>
        <w:t>成人高等教育的特色，引导专业准确定位，加强内涵，体现优势。加强特色专业建设，有利于对整个成人高等教育的专业建设起到示范、激励、导向作用，全面推进成人高等教育专业建设，积极引导整个成人高等教育办出特色。</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21"/>
        </w:rPr>
      </w:pPr>
      <w:r w:rsidRPr="007F678E">
        <w:rPr>
          <w:rFonts w:ascii="宋体" w:hAnsi="宋体" w:cs="宋体" w:hint="eastAsia"/>
          <w:kern w:val="0"/>
          <w:sz w:val="24"/>
          <w:szCs w:val="21"/>
        </w:rPr>
        <w:t>成人高等教育特色专业的特色，主要体现在培养目标规格的特色、课程体系特色、人才培养模式、教学管理模式和教学评价特色等方面。成人高等教育特色专业以特色课程作支撑，重点是教学内容和课程体系的改革，突破口是人才培养模式改革，关键是师资队伍建设。</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21"/>
        </w:rPr>
      </w:pPr>
      <w:r w:rsidRPr="007F678E">
        <w:rPr>
          <w:rFonts w:ascii="宋体" w:hAnsi="宋体" w:cs="宋体" w:hint="eastAsia"/>
          <w:kern w:val="0"/>
          <w:sz w:val="24"/>
          <w:szCs w:val="21"/>
        </w:rPr>
        <w:t>（二）成人高等教育特色专业应具有广泛的社会需求、完善的办学条件</w:t>
      </w:r>
      <w:r w:rsidRPr="007F678E">
        <w:rPr>
          <w:rFonts w:ascii="宋体" w:cs="宋体"/>
          <w:kern w:val="0"/>
          <w:sz w:val="24"/>
          <w:szCs w:val="21"/>
        </w:rPr>
        <w:t>,</w:t>
      </w:r>
      <w:r w:rsidRPr="007F678E">
        <w:rPr>
          <w:rFonts w:ascii="宋体" w:hAnsi="宋体" w:cs="宋体" w:hint="eastAsia"/>
          <w:kern w:val="0"/>
          <w:sz w:val="24"/>
          <w:szCs w:val="21"/>
        </w:rPr>
        <w:t>先进的教育教学理念、明确的培养目标和规格、优良的师资队伍，是学校骨干或重点建设专业，具有完善的投入机制和稳定的经费渠道、良好的社会信誉。</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21"/>
        </w:rPr>
      </w:pPr>
      <w:r w:rsidRPr="007F678E">
        <w:rPr>
          <w:rFonts w:ascii="宋体" w:hAnsi="宋体" w:cs="宋体" w:hint="eastAsia"/>
          <w:kern w:val="0"/>
          <w:sz w:val="24"/>
          <w:szCs w:val="21"/>
        </w:rPr>
        <w:t>（三）成人高等教育的特色专业分校级和省级两个层次进行建设。省级特色专业的建设在校级特色专业建设的基础上进行。省教育厅每两年组织专家对各高校申报的省级特色专业进行评审。凡通过评审列为省级特色专业建设点的，省教育厅将给予适当的资助。各高校至少按照省专项经费的</w:t>
      </w:r>
      <w:r w:rsidRPr="007F678E">
        <w:rPr>
          <w:rFonts w:ascii="宋体" w:hAnsi="宋体" w:cs="宋体"/>
          <w:kern w:val="0"/>
          <w:sz w:val="24"/>
          <w:szCs w:val="21"/>
        </w:rPr>
        <w:t>2</w:t>
      </w:r>
      <w:r w:rsidRPr="007F678E">
        <w:rPr>
          <w:rFonts w:ascii="宋体" w:hAnsi="宋体" w:cs="宋体" w:hint="eastAsia"/>
          <w:kern w:val="0"/>
          <w:sz w:val="24"/>
          <w:szCs w:val="21"/>
        </w:rPr>
        <w:t>倍进行配套投入。省级特色专业建设点的建设周期为两年，在建设过程中，省教育厅将以适当的方式对建设成效进行督导，建设结束后省教育厅将组织验收，达到建设目标的，认定为省级特色专业并授予奖牌。</w:t>
      </w:r>
      <w:r w:rsidRPr="007F678E">
        <w:rPr>
          <w:rFonts w:ascii="宋体" w:hAnsi="宋体" w:cs="宋体"/>
          <w:kern w:val="0"/>
          <w:sz w:val="24"/>
          <w:szCs w:val="21"/>
        </w:rPr>
        <w:t xml:space="preserve"> </w:t>
      </w:r>
    </w:p>
    <w:p w:rsidR="009923B4" w:rsidRPr="007F678E" w:rsidRDefault="009923B4" w:rsidP="00B4322A">
      <w:pPr>
        <w:widowControl/>
        <w:adjustRightInd w:val="0"/>
        <w:snapToGrid w:val="0"/>
        <w:spacing w:line="360" w:lineRule="auto"/>
        <w:ind w:firstLineChars="200" w:firstLine="31680"/>
        <w:jc w:val="left"/>
        <w:rPr>
          <w:rFonts w:ascii="宋体" w:cs="宋体"/>
          <w:b/>
          <w:kern w:val="0"/>
          <w:sz w:val="28"/>
          <w:szCs w:val="21"/>
        </w:rPr>
      </w:pPr>
      <w:r w:rsidRPr="007F678E">
        <w:rPr>
          <w:rFonts w:ascii="宋体" w:hAnsi="宋体" w:cs="宋体" w:hint="eastAsia"/>
          <w:b/>
          <w:kern w:val="0"/>
          <w:sz w:val="28"/>
          <w:szCs w:val="21"/>
        </w:rPr>
        <w:t>三、专业设置</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21"/>
        </w:rPr>
      </w:pPr>
      <w:r w:rsidRPr="007F678E">
        <w:rPr>
          <w:rFonts w:ascii="宋体" w:hAnsi="宋体" w:cs="宋体" w:hint="eastAsia"/>
          <w:kern w:val="0"/>
          <w:sz w:val="24"/>
          <w:szCs w:val="21"/>
        </w:rPr>
        <w:t>（一）专业设置原则</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21"/>
        </w:rPr>
      </w:pPr>
      <w:r w:rsidRPr="007F678E">
        <w:rPr>
          <w:rFonts w:ascii="宋体" w:hAnsi="宋体" w:cs="宋体" w:hint="eastAsia"/>
          <w:kern w:val="0"/>
          <w:sz w:val="24"/>
          <w:szCs w:val="21"/>
        </w:rPr>
        <w:t>高等学校增设新专业（办学形式、专业方向）的原则是：</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21"/>
        </w:rPr>
      </w:pPr>
      <w:r w:rsidRPr="007F678E">
        <w:rPr>
          <w:rFonts w:ascii="宋体" w:hAnsi="宋体" w:cs="宋体"/>
          <w:kern w:val="0"/>
          <w:sz w:val="24"/>
          <w:szCs w:val="21"/>
        </w:rPr>
        <w:t>1.</w:t>
      </w:r>
      <w:r w:rsidRPr="007F678E">
        <w:rPr>
          <w:rFonts w:ascii="宋体" w:hAnsi="宋体" w:cs="宋体" w:hint="eastAsia"/>
          <w:kern w:val="0"/>
          <w:sz w:val="24"/>
          <w:szCs w:val="21"/>
        </w:rPr>
        <w:t>按需设置：根据经济社会发展和产业结构优化对人才的需求设置专业。优先设置社会需求量大、就业前景好的专业。</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21"/>
        </w:rPr>
      </w:pPr>
      <w:r w:rsidRPr="007F678E">
        <w:rPr>
          <w:rFonts w:ascii="宋体" w:hAnsi="宋体" w:cs="宋体"/>
          <w:kern w:val="0"/>
          <w:sz w:val="24"/>
          <w:szCs w:val="21"/>
        </w:rPr>
        <w:t>2.</w:t>
      </w:r>
      <w:r w:rsidRPr="007F678E">
        <w:rPr>
          <w:rFonts w:ascii="宋体" w:hAnsi="宋体" w:cs="宋体" w:hint="eastAsia"/>
          <w:kern w:val="0"/>
          <w:sz w:val="24"/>
          <w:szCs w:val="21"/>
        </w:rPr>
        <w:t>适度超前：设置专业应具有前瞻性，通过深入的市场调研与人才需求预测，及早建设经济社会发展的急需专业，使培养与使用需求接轨。</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21"/>
        </w:rPr>
      </w:pPr>
      <w:r w:rsidRPr="007F678E">
        <w:rPr>
          <w:rFonts w:ascii="宋体" w:hAnsi="宋体" w:cs="宋体"/>
          <w:kern w:val="0"/>
          <w:sz w:val="24"/>
          <w:szCs w:val="21"/>
        </w:rPr>
        <w:t>3.</w:t>
      </w:r>
      <w:r w:rsidRPr="007F678E">
        <w:rPr>
          <w:rFonts w:ascii="宋体" w:hAnsi="宋体" w:cs="宋体" w:hint="eastAsia"/>
          <w:kern w:val="0"/>
          <w:sz w:val="24"/>
          <w:szCs w:val="21"/>
        </w:rPr>
        <w:t>发挥优势：根据办学定位、服务面向和办学条件设置专业，充分发挥学校在学科、师资、设施等方面的资源优势和相关专业人才培养特色。</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21"/>
        </w:rPr>
      </w:pPr>
      <w:r w:rsidRPr="007F678E">
        <w:rPr>
          <w:rFonts w:ascii="宋体" w:hAnsi="宋体" w:cs="宋体"/>
          <w:kern w:val="0"/>
          <w:sz w:val="24"/>
          <w:szCs w:val="21"/>
        </w:rPr>
        <w:t>4.</w:t>
      </w:r>
      <w:r w:rsidRPr="007F678E">
        <w:rPr>
          <w:rFonts w:ascii="宋体" w:hAnsi="宋体" w:cs="宋体" w:hint="eastAsia"/>
          <w:kern w:val="0"/>
          <w:sz w:val="24"/>
          <w:szCs w:val="21"/>
        </w:rPr>
        <w:t>保证条件：专业设置应以办学条件和能力为基础，新设专业应具有良好的办学条件和满足教学需要的师资队伍，能够确保培养质量。</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21"/>
        </w:rPr>
      </w:pPr>
      <w:r w:rsidRPr="007F678E">
        <w:rPr>
          <w:rFonts w:ascii="宋体" w:hAnsi="宋体" w:cs="宋体"/>
          <w:kern w:val="0"/>
          <w:sz w:val="24"/>
          <w:szCs w:val="21"/>
        </w:rPr>
        <w:t>5.</w:t>
      </w:r>
      <w:r w:rsidRPr="007F678E">
        <w:rPr>
          <w:rFonts w:ascii="宋体" w:hAnsi="宋体" w:cs="宋体" w:hint="eastAsia"/>
          <w:kern w:val="0"/>
          <w:sz w:val="24"/>
          <w:szCs w:val="21"/>
        </w:rPr>
        <w:t>相对稳定：成人高等教育的专业一经设置应该相对稳定，保证一定办学规模，提高办学效益。要通过改革教学内容、优化课程设置和拓展专业方向，增强专业的适应性。</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21"/>
        </w:rPr>
      </w:pPr>
      <w:r w:rsidRPr="007F678E">
        <w:rPr>
          <w:rFonts w:ascii="宋体" w:hAnsi="宋体" w:cs="宋体"/>
          <w:kern w:val="0"/>
          <w:sz w:val="24"/>
          <w:szCs w:val="21"/>
        </w:rPr>
        <w:t>6.</w:t>
      </w:r>
      <w:r w:rsidRPr="007F678E">
        <w:rPr>
          <w:rFonts w:ascii="宋体" w:hAnsi="宋体" w:cs="宋体" w:hint="eastAsia"/>
          <w:kern w:val="0"/>
          <w:sz w:val="24"/>
          <w:szCs w:val="21"/>
        </w:rPr>
        <w:t>规范程序：设置专业应按照规定的程序，规范专业名称、教学计划和课程设置、专业管理、学时标准，做到科学可行。</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21"/>
        </w:rPr>
      </w:pPr>
      <w:r w:rsidRPr="007F678E">
        <w:rPr>
          <w:rFonts w:ascii="宋体" w:hAnsi="宋体" w:cs="宋体" w:hint="eastAsia"/>
          <w:kern w:val="0"/>
          <w:sz w:val="24"/>
          <w:szCs w:val="21"/>
        </w:rPr>
        <w:t>（二）专业设置程序</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21"/>
        </w:rPr>
      </w:pPr>
      <w:r w:rsidRPr="007F678E">
        <w:rPr>
          <w:rFonts w:ascii="宋体" w:hAnsi="宋体" w:cs="宋体"/>
          <w:kern w:val="0"/>
          <w:sz w:val="24"/>
          <w:szCs w:val="21"/>
        </w:rPr>
        <w:t>1</w:t>
      </w:r>
      <w:r w:rsidRPr="007F678E">
        <w:rPr>
          <w:rFonts w:ascii="宋体" w:hAnsi="宋体" w:cs="宋体" w:hint="eastAsia"/>
          <w:kern w:val="0"/>
          <w:sz w:val="24"/>
          <w:szCs w:val="21"/>
        </w:rPr>
        <w:t>．成人高等教育增设新专业（办学形式、专业方向），实行专家审核、省教育厅向社会公布制度。经省教育厅公布的成人高等教育专业方能招生。</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21"/>
        </w:rPr>
      </w:pPr>
      <w:r w:rsidRPr="007F678E">
        <w:rPr>
          <w:rFonts w:ascii="宋体" w:hAnsi="宋体" w:cs="宋体"/>
          <w:kern w:val="0"/>
          <w:sz w:val="24"/>
          <w:szCs w:val="21"/>
        </w:rPr>
        <w:t>2</w:t>
      </w:r>
      <w:r w:rsidRPr="007F678E">
        <w:rPr>
          <w:rFonts w:ascii="宋体" w:hAnsi="宋体" w:cs="宋体" w:hint="eastAsia"/>
          <w:kern w:val="0"/>
          <w:sz w:val="24"/>
          <w:szCs w:val="21"/>
        </w:rPr>
        <w:t>．高等学校增设成人高等教育本科（包括专升本）专业（办学形式、专业方向），应是本校全日制普通本科已经批准设置的专业。高等学校增设成人高等教育医药类及相关医学类专业，不论是何层次，均应是本校全日制高等教育已经批准设置的专业。高等学校根据需要可增设符合条件的专科专业（办学形式、专业方向）。医学类专业一律不得举办函授教育。艺术类、外语类（师范除外）专业未经教育部批准不得举办函授教育。</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kern w:val="0"/>
          <w:sz w:val="24"/>
          <w:szCs w:val="21"/>
        </w:rPr>
        <w:t>3</w:t>
      </w:r>
      <w:r w:rsidRPr="007F678E">
        <w:rPr>
          <w:rFonts w:ascii="宋体" w:hAnsi="宋体" w:cs="宋体" w:hint="eastAsia"/>
          <w:kern w:val="0"/>
          <w:sz w:val="24"/>
          <w:szCs w:val="21"/>
        </w:rPr>
        <w:t>．高等学校增设成人高等教育本科（包括专升本）专业，其专业名称、代码和专业类别应以</w:t>
      </w:r>
      <w:r w:rsidRPr="007F678E">
        <w:rPr>
          <w:rFonts w:ascii="宋体" w:hAnsi="宋体" w:cs="宋体"/>
          <w:kern w:val="0"/>
          <w:sz w:val="24"/>
          <w:szCs w:val="21"/>
        </w:rPr>
        <w:t>1998</w:t>
      </w:r>
      <w:r w:rsidRPr="007F678E">
        <w:rPr>
          <w:rFonts w:ascii="宋体" w:hAnsi="宋体" w:cs="宋体" w:hint="eastAsia"/>
          <w:kern w:val="0"/>
          <w:sz w:val="24"/>
          <w:szCs w:val="21"/>
        </w:rPr>
        <w:t>年教育部颁布的《普通高等学校本科</w:t>
      </w:r>
      <w:r w:rsidRPr="007F678E">
        <w:rPr>
          <w:rFonts w:ascii="宋体" w:hAnsi="宋体" w:cs="宋体" w:hint="eastAsia"/>
          <w:kern w:val="0"/>
          <w:sz w:val="24"/>
          <w:szCs w:val="32"/>
        </w:rPr>
        <w:t>专业目录》规定的专业名称、代码和专业类别为准。申报成人高等教育专科专业，其专业名称、代码和专业类别以教育部颁布的《普通高等学校高职高专指导性专业目录（试行）》（教育部教高</w:t>
      </w:r>
      <w:r w:rsidRPr="007F678E">
        <w:rPr>
          <w:rFonts w:ascii="宋体" w:hAnsi="宋体" w:cs="宋体"/>
          <w:kern w:val="0"/>
          <w:sz w:val="24"/>
          <w:szCs w:val="32"/>
        </w:rPr>
        <w:t>[2004]4</w:t>
      </w:r>
      <w:r w:rsidRPr="007F678E">
        <w:rPr>
          <w:rFonts w:ascii="宋体" w:hAnsi="宋体" w:cs="宋体" w:hint="eastAsia"/>
          <w:kern w:val="0"/>
          <w:sz w:val="24"/>
          <w:szCs w:val="32"/>
        </w:rPr>
        <w:t>号）规定的专业名称、代码和专业类别为准。增设目录外专科专业应规范专业名称，经过充分论证。</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kern w:val="0"/>
          <w:sz w:val="24"/>
          <w:szCs w:val="32"/>
        </w:rPr>
        <w:t>4</w:t>
      </w:r>
      <w:r w:rsidRPr="007F678E">
        <w:rPr>
          <w:rFonts w:ascii="宋体" w:hAnsi="宋体" w:cs="宋体" w:hint="eastAsia"/>
          <w:kern w:val="0"/>
          <w:sz w:val="24"/>
          <w:szCs w:val="32"/>
        </w:rPr>
        <w:t>．每所高等学校每年申报新增成人高等教育专业（办学形式、专业方向）不得超过</w:t>
      </w:r>
      <w:r w:rsidRPr="007F678E">
        <w:rPr>
          <w:rFonts w:ascii="宋体" w:hAnsi="宋体" w:cs="宋体"/>
          <w:kern w:val="0"/>
          <w:sz w:val="24"/>
          <w:szCs w:val="32"/>
        </w:rPr>
        <w:t>5</w:t>
      </w:r>
      <w:r w:rsidRPr="007F678E">
        <w:rPr>
          <w:rFonts w:ascii="宋体" w:hAnsi="宋体" w:cs="宋体" w:hint="eastAsia"/>
          <w:kern w:val="0"/>
          <w:sz w:val="24"/>
          <w:szCs w:val="32"/>
        </w:rPr>
        <w:t>种，严格控制脱产办学形式。</w:t>
      </w:r>
    </w:p>
    <w:p w:rsidR="009923B4" w:rsidRPr="007F678E" w:rsidRDefault="009923B4" w:rsidP="00B4322A">
      <w:pPr>
        <w:widowControl/>
        <w:adjustRightInd w:val="0"/>
        <w:snapToGrid w:val="0"/>
        <w:spacing w:line="360" w:lineRule="auto"/>
        <w:ind w:firstLineChars="200" w:firstLine="31680"/>
        <w:jc w:val="left"/>
        <w:rPr>
          <w:rFonts w:ascii="仿宋_GB2312" w:eastAsia="仿宋_GB2312" w:hAnsi="宋体" w:cs="宋体"/>
          <w:kern w:val="0"/>
          <w:sz w:val="32"/>
          <w:szCs w:val="32"/>
        </w:rPr>
      </w:pPr>
      <w:r w:rsidRPr="007F678E">
        <w:rPr>
          <w:rFonts w:ascii="宋体" w:hAnsi="宋体" w:cs="宋体"/>
          <w:kern w:val="0"/>
          <w:sz w:val="24"/>
          <w:szCs w:val="32"/>
        </w:rPr>
        <w:t>5</w:t>
      </w:r>
      <w:r w:rsidRPr="007F678E">
        <w:rPr>
          <w:rFonts w:ascii="宋体" w:hAnsi="宋体" w:cs="宋体" w:hint="eastAsia"/>
          <w:kern w:val="0"/>
          <w:sz w:val="24"/>
          <w:szCs w:val="32"/>
        </w:rPr>
        <w:t>．所有成人高等教育专业均应开设英语、计算机和思想政治理论等公共课程。成人高等教育相应学历层次新增设专业的学时与学习年限，应符合以下要求：</w:t>
      </w:r>
      <w:r w:rsidRPr="007F678E">
        <w:rPr>
          <w:rFonts w:ascii="华文宋体" w:eastAsia="华文宋体" w:hAnsi="华文宋体" w:cs="宋体"/>
          <w:kern w:val="0"/>
          <w:sz w:val="24"/>
          <w:szCs w:val="32"/>
        </w:rPr>
        <w:t xml:space="preserve"> </w:t>
      </w:r>
    </w:p>
    <w:tbl>
      <w:tblPr>
        <w:tblW w:w="854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1236"/>
        <w:gridCol w:w="1096"/>
        <w:gridCol w:w="1445"/>
        <w:gridCol w:w="1026"/>
        <w:gridCol w:w="2338"/>
        <w:gridCol w:w="682"/>
      </w:tblGrid>
      <w:tr w:rsidR="009923B4" w:rsidRPr="00FE464C" w:rsidTr="00CA3145">
        <w:tc>
          <w:tcPr>
            <w:tcW w:w="726" w:type="dxa"/>
            <w:tcBorders>
              <w:top w:val="double" w:sz="4" w:space="0" w:color="auto"/>
              <w:left w:val="double" w:sz="4" w:space="0" w:color="auto"/>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4"/>
              </w:rPr>
            </w:pPr>
            <w:r w:rsidRPr="007F678E">
              <w:rPr>
                <w:rFonts w:ascii="Times New Roman" w:eastAsia="仿宋_GB2312" w:hAnsi="Times New Roman" w:hint="eastAsia"/>
                <w:kern w:val="0"/>
                <w:sz w:val="24"/>
                <w:szCs w:val="24"/>
              </w:rPr>
              <w:t>学历</w:t>
            </w:r>
          </w:p>
          <w:p w:rsidR="009923B4" w:rsidRPr="007F678E" w:rsidRDefault="009923B4" w:rsidP="00CA3145">
            <w:pPr>
              <w:widowControl/>
              <w:adjustRightInd w:val="0"/>
              <w:snapToGrid w:val="0"/>
              <w:jc w:val="center"/>
              <w:rPr>
                <w:rFonts w:ascii="Times New Roman" w:eastAsia="仿宋_GB2312" w:hAnsi="Times New Roman"/>
                <w:kern w:val="0"/>
                <w:sz w:val="24"/>
                <w:szCs w:val="24"/>
              </w:rPr>
            </w:pPr>
            <w:r w:rsidRPr="007F678E">
              <w:rPr>
                <w:rFonts w:ascii="Times New Roman" w:eastAsia="仿宋_GB2312" w:hAnsi="Times New Roman" w:hint="eastAsia"/>
                <w:kern w:val="0"/>
                <w:sz w:val="24"/>
                <w:szCs w:val="24"/>
              </w:rPr>
              <w:t>层次</w:t>
            </w:r>
          </w:p>
        </w:tc>
        <w:tc>
          <w:tcPr>
            <w:tcW w:w="1236" w:type="dxa"/>
            <w:tcBorders>
              <w:top w:val="double" w:sz="4" w:space="0" w:color="auto"/>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4"/>
              </w:rPr>
            </w:pPr>
            <w:r w:rsidRPr="007F678E">
              <w:rPr>
                <w:rFonts w:ascii="Times New Roman" w:eastAsia="仿宋_GB2312" w:hAnsi="Times New Roman" w:hint="eastAsia"/>
                <w:kern w:val="0"/>
                <w:sz w:val="24"/>
                <w:szCs w:val="24"/>
              </w:rPr>
              <w:t>办学</w:t>
            </w:r>
          </w:p>
          <w:p w:rsidR="009923B4" w:rsidRPr="007F678E" w:rsidRDefault="009923B4" w:rsidP="00CA3145">
            <w:pPr>
              <w:widowControl/>
              <w:adjustRightInd w:val="0"/>
              <w:snapToGrid w:val="0"/>
              <w:jc w:val="center"/>
              <w:rPr>
                <w:rFonts w:ascii="Times New Roman" w:eastAsia="仿宋_GB2312" w:hAnsi="Times New Roman"/>
                <w:kern w:val="0"/>
                <w:sz w:val="24"/>
                <w:szCs w:val="24"/>
              </w:rPr>
            </w:pPr>
            <w:r w:rsidRPr="007F678E">
              <w:rPr>
                <w:rFonts w:ascii="Times New Roman" w:eastAsia="仿宋_GB2312" w:hAnsi="Times New Roman" w:hint="eastAsia"/>
                <w:kern w:val="0"/>
                <w:sz w:val="24"/>
                <w:szCs w:val="24"/>
              </w:rPr>
              <w:t>形式</w:t>
            </w:r>
          </w:p>
        </w:tc>
        <w:tc>
          <w:tcPr>
            <w:tcW w:w="1096" w:type="dxa"/>
            <w:tcBorders>
              <w:top w:val="double" w:sz="4" w:space="0" w:color="auto"/>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4"/>
              </w:rPr>
            </w:pPr>
            <w:r w:rsidRPr="007F678E">
              <w:rPr>
                <w:rFonts w:ascii="Times New Roman" w:eastAsia="仿宋_GB2312" w:hAnsi="Times New Roman" w:hint="eastAsia"/>
                <w:kern w:val="0"/>
                <w:sz w:val="24"/>
                <w:szCs w:val="24"/>
              </w:rPr>
              <w:t>最低学习年限</w:t>
            </w:r>
          </w:p>
        </w:tc>
        <w:tc>
          <w:tcPr>
            <w:tcW w:w="1445" w:type="dxa"/>
            <w:tcBorders>
              <w:top w:val="double" w:sz="4" w:space="0" w:color="auto"/>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4"/>
              </w:rPr>
            </w:pPr>
            <w:r w:rsidRPr="007F678E">
              <w:rPr>
                <w:rFonts w:ascii="Times New Roman" w:eastAsia="仿宋_GB2312" w:hAnsi="Times New Roman" w:hint="eastAsia"/>
                <w:kern w:val="0"/>
                <w:sz w:val="24"/>
                <w:szCs w:val="24"/>
              </w:rPr>
              <w:t>最低</w:t>
            </w:r>
          </w:p>
          <w:p w:rsidR="009923B4" w:rsidRPr="007F678E" w:rsidRDefault="009923B4" w:rsidP="00CA3145">
            <w:pPr>
              <w:widowControl/>
              <w:adjustRightInd w:val="0"/>
              <w:snapToGrid w:val="0"/>
              <w:jc w:val="center"/>
              <w:rPr>
                <w:rFonts w:ascii="Times New Roman" w:eastAsia="仿宋_GB2312" w:hAnsi="Times New Roman"/>
                <w:kern w:val="0"/>
                <w:sz w:val="24"/>
                <w:szCs w:val="24"/>
              </w:rPr>
            </w:pPr>
            <w:r w:rsidRPr="007F678E">
              <w:rPr>
                <w:rFonts w:ascii="Times New Roman" w:eastAsia="仿宋_GB2312" w:hAnsi="Times New Roman" w:hint="eastAsia"/>
                <w:kern w:val="0"/>
                <w:sz w:val="24"/>
                <w:szCs w:val="24"/>
              </w:rPr>
              <w:t>总学时</w:t>
            </w:r>
          </w:p>
        </w:tc>
        <w:tc>
          <w:tcPr>
            <w:tcW w:w="1026" w:type="dxa"/>
            <w:tcBorders>
              <w:top w:val="double" w:sz="4" w:space="0" w:color="auto"/>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4"/>
              </w:rPr>
            </w:pPr>
            <w:r w:rsidRPr="007F678E">
              <w:rPr>
                <w:rFonts w:ascii="Times New Roman" w:eastAsia="仿宋_GB2312" w:hAnsi="Times New Roman" w:hint="eastAsia"/>
                <w:kern w:val="0"/>
                <w:sz w:val="24"/>
                <w:szCs w:val="24"/>
              </w:rPr>
              <w:t>最低课</w:t>
            </w:r>
          </w:p>
          <w:p w:rsidR="009923B4" w:rsidRPr="007F678E" w:rsidRDefault="009923B4" w:rsidP="00CA3145">
            <w:pPr>
              <w:widowControl/>
              <w:adjustRightInd w:val="0"/>
              <w:snapToGrid w:val="0"/>
              <w:jc w:val="center"/>
              <w:rPr>
                <w:rFonts w:ascii="Times New Roman" w:eastAsia="仿宋_GB2312" w:hAnsi="Times New Roman"/>
                <w:kern w:val="0"/>
                <w:sz w:val="24"/>
                <w:szCs w:val="24"/>
              </w:rPr>
            </w:pPr>
            <w:r w:rsidRPr="007F678E">
              <w:rPr>
                <w:rFonts w:ascii="Times New Roman" w:eastAsia="仿宋_GB2312" w:hAnsi="Times New Roman" w:hint="eastAsia"/>
                <w:kern w:val="0"/>
                <w:sz w:val="24"/>
                <w:szCs w:val="24"/>
              </w:rPr>
              <w:t>程门数</w:t>
            </w:r>
          </w:p>
        </w:tc>
        <w:tc>
          <w:tcPr>
            <w:tcW w:w="3020" w:type="dxa"/>
            <w:gridSpan w:val="2"/>
            <w:tcBorders>
              <w:top w:val="double" w:sz="4" w:space="0" w:color="auto"/>
              <w:bottom w:val="double" w:sz="4" w:space="0" w:color="auto"/>
              <w:right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4"/>
              </w:rPr>
            </w:pPr>
            <w:r w:rsidRPr="007F678E">
              <w:rPr>
                <w:rFonts w:ascii="Times New Roman" w:eastAsia="仿宋_GB2312" w:hAnsi="Times New Roman" w:hint="eastAsia"/>
                <w:kern w:val="0"/>
                <w:sz w:val="24"/>
                <w:szCs w:val="24"/>
              </w:rPr>
              <w:t>备注</w:t>
            </w:r>
          </w:p>
        </w:tc>
      </w:tr>
      <w:tr w:rsidR="009923B4" w:rsidRPr="00FE464C" w:rsidTr="00CA3145">
        <w:trPr>
          <w:cantSplit/>
        </w:trPr>
        <w:tc>
          <w:tcPr>
            <w:tcW w:w="726" w:type="dxa"/>
            <w:vMerge w:val="restart"/>
            <w:tcBorders>
              <w:top w:val="double" w:sz="4" w:space="0" w:color="auto"/>
              <w:left w:val="double" w:sz="4" w:space="0" w:color="auto"/>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8"/>
                <w:szCs w:val="28"/>
              </w:rPr>
            </w:pPr>
            <w:r w:rsidRPr="007F678E">
              <w:rPr>
                <w:rFonts w:ascii="Times New Roman" w:eastAsia="仿宋_GB2312" w:hAnsi="Times New Roman" w:hint="eastAsia"/>
                <w:kern w:val="0"/>
                <w:sz w:val="28"/>
                <w:szCs w:val="28"/>
              </w:rPr>
              <w:t>专</w:t>
            </w:r>
          </w:p>
          <w:p w:rsidR="009923B4" w:rsidRPr="007F678E" w:rsidRDefault="009923B4" w:rsidP="00CA3145">
            <w:pPr>
              <w:widowControl/>
              <w:adjustRightInd w:val="0"/>
              <w:snapToGrid w:val="0"/>
              <w:jc w:val="center"/>
              <w:rPr>
                <w:rFonts w:ascii="Times New Roman" w:eastAsia="仿宋_GB2312" w:hAnsi="Times New Roman"/>
                <w:kern w:val="0"/>
                <w:sz w:val="28"/>
                <w:szCs w:val="28"/>
              </w:rPr>
            </w:pPr>
            <w:r w:rsidRPr="007F678E">
              <w:rPr>
                <w:rFonts w:ascii="Times New Roman" w:eastAsia="仿宋_GB2312" w:hAnsi="Times New Roman" w:hint="eastAsia"/>
                <w:kern w:val="0"/>
                <w:sz w:val="28"/>
                <w:szCs w:val="28"/>
              </w:rPr>
              <w:t>科</w:t>
            </w:r>
          </w:p>
        </w:tc>
        <w:tc>
          <w:tcPr>
            <w:tcW w:w="1236" w:type="dxa"/>
            <w:tcBorders>
              <w:top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函授</w:t>
            </w:r>
          </w:p>
        </w:tc>
        <w:tc>
          <w:tcPr>
            <w:tcW w:w="1096" w:type="dxa"/>
            <w:tcBorders>
              <w:top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3</w:t>
            </w:r>
          </w:p>
        </w:tc>
        <w:tc>
          <w:tcPr>
            <w:tcW w:w="1445" w:type="dxa"/>
            <w:tcBorders>
              <w:top w:val="double" w:sz="4" w:space="0" w:color="auto"/>
            </w:tcBorders>
            <w:vAlign w:val="center"/>
          </w:tcPr>
          <w:p w:rsidR="009923B4" w:rsidRPr="007F678E" w:rsidRDefault="009923B4" w:rsidP="00CA3145">
            <w:pPr>
              <w:widowControl/>
              <w:adjustRightInd w:val="0"/>
              <w:snapToGrid w:val="0"/>
              <w:jc w:val="center"/>
              <w:rPr>
                <w:rFonts w:ascii="仿宋_GB2312" w:eastAsia="仿宋_GB2312" w:hAnsi="宋体"/>
                <w:kern w:val="0"/>
                <w:sz w:val="24"/>
                <w:szCs w:val="21"/>
              </w:rPr>
            </w:pPr>
            <w:r w:rsidRPr="007F678E">
              <w:rPr>
                <w:rFonts w:ascii="仿宋_GB2312" w:eastAsia="仿宋_GB2312" w:hAnsi="宋体"/>
                <w:kern w:val="0"/>
                <w:sz w:val="24"/>
                <w:szCs w:val="21"/>
              </w:rPr>
              <w:t>600</w:t>
            </w:r>
            <w:r w:rsidRPr="007F678E">
              <w:rPr>
                <w:rFonts w:ascii="仿宋_GB2312" w:eastAsia="仿宋_GB2312" w:hAnsi="宋体" w:hint="eastAsia"/>
                <w:kern w:val="0"/>
                <w:sz w:val="24"/>
                <w:szCs w:val="21"/>
              </w:rPr>
              <w:t>（面授）</w:t>
            </w:r>
          </w:p>
          <w:p w:rsidR="009923B4" w:rsidRPr="007F678E" w:rsidRDefault="009923B4" w:rsidP="00CA3145">
            <w:pPr>
              <w:widowControl/>
              <w:adjustRightInd w:val="0"/>
              <w:snapToGrid w:val="0"/>
              <w:jc w:val="center"/>
              <w:rPr>
                <w:rFonts w:ascii="仿宋_GB2312" w:eastAsia="仿宋_GB2312" w:hAnsi="宋体"/>
                <w:kern w:val="0"/>
                <w:sz w:val="24"/>
                <w:szCs w:val="21"/>
              </w:rPr>
            </w:pPr>
            <w:r w:rsidRPr="007F678E">
              <w:rPr>
                <w:rFonts w:ascii="仿宋_GB2312" w:eastAsia="仿宋_GB2312" w:hAnsi="宋体"/>
                <w:kern w:val="0"/>
                <w:sz w:val="24"/>
                <w:szCs w:val="21"/>
              </w:rPr>
              <w:t>1200</w:t>
            </w:r>
            <w:r w:rsidRPr="007F678E">
              <w:rPr>
                <w:rFonts w:ascii="仿宋_GB2312" w:eastAsia="仿宋_GB2312" w:hAnsi="宋体" w:hint="eastAsia"/>
                <w:kern w:val="0"/>
                <w:sz w:val="24"/>
                <w:szCs w:val="21"/>
              </w:rPr>
              <w:t>（自学）</w:t>
            </w:r>
          </w:p>
        </w:tc>
        <w:tc>
          <w:tcPr>
            <w:tcW w:w="1026" w:type="dxa"/>
            <w:tcBorders>
              <w:top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15</w:t>
            </w:r>
          </w:p>
        </w:tc>
        <w:tc>
          <w:tcPr>
            <w:tcW w:w="2338" w:type="dxa"/>
            <w:tcBorders>
              <w:top w:val="double" w:sz="4" w:space="0" w:color="auto"/>
            </w:tcBorders>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毕业实习不少于</w:t>
            </w:r>
            <w:r w:rsidRPr="007F678E">
              <w:rPr>
                <w:rFonts w:ascii="Times New Roman" w:eastAsia="仿宋_GB2312" w:hAnsi="Times New Roman"/>
                <w:kern w:val="0"/>
                <w:sz w:val="24"/>
                <w:szCs w:val="21"/>
              </w:rPr>
              <w:t>10</w:t>
            </w:r>
            <w:r w:rsidRPr="007F678E">
              <w:rPr>
                <w:rFonts w:ascii="Times New Roman" w:eastAsia="仿宋_GB2312" w:hAnsi="Times New Roman" w:hint="eastAsia"/>
                <w:kern w:val="0"/>
                <w:sz w:val="24"/>
                <w:szCs w:val="21"/>
              </w:rPr>
              <w:t>周（按面授</w:t>
            </w:r>
            <w:r w:rsidRPr="007F678E">
              <w:rPr>
                <w:rFonts w:ascii="Times New Roman" w:eastAsia="仿宋_GB2312" w:hAnsi="Times New Roman"/>
                <w:kern w:val="0"/>
                <w:sz w:val="24"/>
                <w:szCs w:val="21"/>
              </w:rPr>
              <w:t>50</w:t>
            </w:r>
            <w:r w:rsidRPr="007F678E">
              <w:rPr>
                <w:rFonts w:ascii="Times New Roman" w:eastAsia="仿宋_GB2312" w:hAnsi="Times New Roman" w:hint="eastAsia"/>
                <w:kern w:val="0"/>
                <w:sz w:val="24"/>
                <w:szCs w:val="21"/>
              </w:rPr>
              <w:t>学时计）</w:t>
            </w:r>
          </w:p>
        </w:tc>
        <w:tc>
          <w:tcPr>
            <w:tcW w:w="682" w:type="dxa"/>
            <w:vMerge w:val="restart"/>
            <w:tcBorders>
              <w:top w:val="double" w:sz="4" w:space="0" w:color="auto"/>
              <w:bottom w:val="double" w:sz="4" w:space="0" w:color="auto"/>
              <w:right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4"/>
              </w:rPr>
            </w:pPr>
            <w:r w:rsidRPr="007F678E">
              <w:rPr>
                <w:rFonts w:ascii="Times New Roman" w:eastAsia="仿宋_GB2312" w:hAnsi="Times New Roman" w:hint="eastAsia"/>
                <w:kern w:val="0"/>
                <w:sz w:val="24"/>
                <w:szCs w:val="24"/>
              </w:rPr>
              <w:t>每学年一般按</w:t>
            </w:r>
            <w:r w:rsidRPr="007F678E">
              <w:rPr>
                <w:rFonts w:ascii="Times New Roman" w:eastAsia="仿宋_GB2312" w:hAnsi="Times New Roman"/>
                <w:kern w:val="0"/>
                <w:sz w:val="24"/>
                <w:szCs w:val="24"/>
              </w:rPr>
              <w:t>40</w:t>
            </w:r>
            <w:r w:rsidRPr="007F678E">
              <w:rPr>
                <w:rFonts w:ascii="Times New Roman" w:eastAsia="仿宋_GB2312" w:hAnsi="Times New Roman" w:hint="eastAsia"/>
                <w:kern w:val="0"/>
                <w:sz w:val="24"/>
                <w:szCs w:val="24"/>
              </w:rPr>
              <w:t>周安排教学</w:t>
            </w:r>
          </w:p>
        </w:tc>
      </w:tr>
      <w:tr w:rsidR="009923B4" w:rsidRPr="00FE464C" w:rsidTr="00CA3145">
        <w:trPr>
          <w:cantSplit/>
        </w:trPr>
        <w:tc>
          <w:tcPr>
            <w:tcW w:w="0" w:type="auto"/>
            <w:vMerge/>
            <w:tcBorders>
              <w:top w:val="double" w:sz="4" w:space="0" w:color="auto"/>
              <w:left w:val="double" w:sz="4" w:space="0" w:color="auto"/>
              <w:bottom w:val="double" w:sz="4" w:space="0" w:color="auto"/>
            </w:tcBorders>
            <w:vAlign w:val="center"/>
          </w:tcPr>
          <w:p w:rsidR="009923B4" w:rsidRPr="007F678E" w:rsidRDefault="009923B4" w:rsidP="00CA3145">
            <w:pPr>
              <w:widowControl/>
              <w:jc w:val="left"/>
              <w:rPr>
                <w:rFonts w:ascii="Times New Roman" w:eastAsia="仿宋_GB2312" w:hAnsi="Times New Roman"/>
                <w:kern w:val="0"/>
                <w:sz w:val="28"/>
                <w:szCs w:val="28"/>
              </w:rPr>
            </w:pPr>
          </w:p>
        </w:tc>
        <w:tc>
          <w:tcPr>
            <w:tcW w:w="1236" w:type="dxa"/>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业余</w:t>
            </w:r>
          </w:p>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（夜大学）</w:t>
            </w:r>
          </w:p>
        </w:tc>
        <w:tc>
          <w:tcPr>
            <w:tcW w:w="1096" w:type="dxa"/>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3</w:t>
            </w:r>
          </w:p>
        </w:tc>
        <w:tc>
          <w:tcPr>
            <w:tcW w:w="1445" w:type="dxa"/>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1200</w:t>
            </w:r>
          </w:p>
        </w:tc>
        <w:tc>
          <w:tcPr>
            <w:tcW w:w="1026" w:type="dxa"/>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15</w:t>
            </w:r>
          </w:p>
        </w:tc>
        <w:tc>
          <w:tcPr>
            <w:tcW w:w="2338" w:type="dxa"/>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毕业实习不少于</w:t>
            </w:r>
            <w:r w:rsidRPr="007F678E">
              <w:rPr>
                <w:rFonts w:ascii="Times New Roman" w:eastAsia="仿宋_GB2312" w:hAnsi="Times New Roman"/>
                <w:kern w:val="0"/>
                <w:sz w:val="24"/>
                <w:szCs w:val="21"/>
              </w:rPr>
              <w:t>10</w:t>
            </w:r>
            <w:r w:rsidRPr="007F678E">
              <w:rPr>
                <w:rFonts w:ascii="Times New Roman" w:eastAsia="仿宋_GB2312" w:hAnsi="Times New Roman" w:hint="eastAsia"/>
                <w:kern w:val="0"/>
                <w:sz w:val="24"/>
                <w:szCs w:val="21"/>
              </w:rPr>
              <w:t>周（按</w:t>
            </w:r>
            <w:r w:rsidRPr="007F678E">
              <w:rPr>
                <w:rFonts w:ascii="Times New Roman" w:eastAsia="仿宋_GB2312" w:hAnsi="Times New Roman"/>
                <w:kern w:val="0"/>
                <w:sz w:val="24"/>
                <w:szCs w:val="21"/>
              </w:rPr>
              <w:t>120</w:t>
            </w:r>
            <w:r w:rsidRPr="007F678E">
              <w:rPr>
                <w:rFonts w:ascii="Times New Roman" w:eastAsia="仿宋_GB2312" w:hAnsi="Times New Roman" w:hint="eastAsia"/>
                <w:kern w:val="0"/>
                <w:sz w:val="24"/>
                <w:szCs w:val="21"/>
              </w:rPr>
              <w:t>学时计）</w:t>
            </w:r>
          </w:p>
        </w:tc>
        <w:tc>
          <w:tcPr>
            <w:tcW w:w="0" w:type="auto"/>
            <w:vMerge/>
            <w:tcBorders>
              <w:top w:val="double" w:sz="4" w:space="0" w:color="auto"/>
              <w:bottom w:val="double" w:sz="4" w:space="0" w:color="auto"/>
              <w:right w:val="double" w:sz="4" w:space="0" w:color="auto"/>
            </w:tcBorders>
            <w:vAlign w:val="center"/>
          </w:tcPr>
          <w:p w:rsidR="009923B4" w:rsidRPr="007F678E" w:rsidRDefault="009923B4" w:rsidP="00CA3145">
            <w:pPr>
              <w:widowControl/>
              <w:jc w:val="left"/>
              <w:rPr>
                <w:rFonts w:ascii="Times New Roman" w:eastAsia="仿宋_GB2312" w:hAnsi="Times New Roman"/>
                <w:kern w:val="0"/>
                <w:sz w:val="24"/>
                <w:szCs w:val="24"/>
              </w:rPr>
            </w:pPr>
          </w:p>
        </w:tc>
      </w:tr>
      <w:tr w:rsidR="009923B4" w:rsidRPr="00FE464C" w:rsidTr="00CA3145">
        <w:trPr>
          <w:cantSplit/>
        </w:trPr>
        <w:tc>
          <w:tcPr>
            <w:tcW w:w="0" w:type="auto"/>
            <w:vMerge/>
            <w:tcBorders>
              <w:top w:val="double" w:sz="4" w:space="0" w:color="auto"/>
              <w:left w:val="double" w:sz="4" w:space="0" w:color="auto"/>
              <w:bottom w:val="double" w:sz="4" w:space="0" w:color="auto"/>
            </w:tcBorders>
            <w:vAlign w:val="center"/>
          </w:tcPr>
          <w:p w:rsidR="009923B4" w:rsidRPr="007F678E" w:rsidRDefault="009923B4" w:rsidP="00CA3145">
            <w:pPr>
              <w:widowControl/>
              <w:jc w:val="left"/>
              <w:rPr>
                <w:rFonts w:ascii="Times New Roman" w:eastAsia="仿宋_GB2312" w:hAnsi="Times New Roman"/>
                <w:kern w:val="0"/>
                <w:sz w:val="28"/>
                <w:szCs w:val="28"/>
              </w:rPr>
            </w:pPr>
          </w:p>
        </w:tc>
        <w:tc>
          <w:tcPr>
            <w:tcW w:w="1236" w:type="dxa"/>
            <w:tcBorders>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脱产</w:t>
            </w:r>
          </w:p>
        </w:tc>
        <w:tc>
          <w:tcPr>
            <w:tcW w:w="1096" w:type="dxa"/>
            <w:tcBorders>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2</w:t>
            </w:r>
          </w:p>
        </w:tc>
        <w:tc>
          <w:tcPr>
            <w:tcW w:w="1445" w:type="dxa"/>
            <w:tcBorders>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1600</w:t>
            </w:r>
          </w:p>
        </w:tc>
        <w:tc>
          <w:tcPr>
            <w:tcW w:w="1026" w:type="dxa"/>
            <w:tcBorders>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15</w:t>
            </w:r>
          </w:p>
        </w:tc>
        <w:tc>
          <w:tcPr>
            <w:tcW w:w="2338" w:type="dxa"/>
            <w:tcBorders>
              <w:bottom w:val="double" w:sz="4" w:space="0" w:color="auto"/>
            </w:tcBorders>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毕业实习不少于</w:t>
            </w:r>
            <w:r w:rsidRPr="007F678E">
              <w:rPr>
                <w:rFonts w:ascii="Times New Roman" w:eastAsia="仿宋_GB2312" w:hAnsi="Times New Roman"/>
                <w:kern w:val="0"/>
                <w:sz w:val="24"/>
                <w:szCs w:val="21"/>
              </w:rPr>
              <w:t>10</w:t>
            </w:r>
            <w:r w:rsidRPr="007F678E">
              <w:rPr>
                <w:rFonts w:ascii="Times New Roman" w:eastAsia="仿宋_GB2312" w:hAnsi="Times New Roman" w:hint="eastAsia"/>
                <w:kern w:val="0"/>
                <w:sz w:val="24"/>
                <w:szCs w:val="21"/>
              </w:rPr>
              <w:t>周（按</w:t>
            </w:r>
            <w:r w:rsidRPr="007F678E">
              <w:rPr>
                <w:rFonts w:ascii="Times New Roman" w:eastAsia="仿宋_GB2312" w:hAnsi="Times New Roman"/>
                <w:kern w:val="0"/>
                <w:sz w:val="24"/>
                <w:szCs w:val="21"/>
              </w:rPr>
              <w:t>225</w:t>
            </w:r>
            <w:r w:rsidRPr="007F678E">
              <w:rPr>
                <w:rFonts w:ascii="Times New Roman" w:eastAsia="仿宋_GB2312" w:hAnsi="Times New Roman" w:hint="eastAsia"/>
                <w:kern w:val="0"/>
                <w:sz w:val="24"/>
                <w:szCs w:val="21"/>
              </w:rPr>
              <w:t>学时计）</w:t>
            </w:r>
          </w:p>
        </w:tc>
        <w:tc>
          <w:tcPr>
            <w:tcW w:w="0" w:type="auto"/>
            <w:vMerge/>
            <w:tcBorders>
              <w:top w:val="double" w:sz="4" w:space="0" w:color="auto"/>
              <w:bottom w:val="double" w:sz="4" w:space="0" w:color="auto"/>
              <w:right w:val="double" w:sz="4" w:space="0" w:color="auto"/>
            </w:tcBorders>
            <w:vAlign w:val="center"/>
          </w:tcPr>
          <w:p w:rsidR="009923B4" w:rsidRPr="007F678E" w:rsidRDefault="009923B4" w:rsidP="00CA3145">
            <w:pPr>
              <w:widowControl/>
              <w:jc w:val="left"/>
              <w:rPr>
                <w:rFonts w:ascii="Times New Roman" w:eastAsia="仿宋_GB2312" w:hAnsi="Times New Roman"/>
                <w:kern w:val="0"/>
                <w:sz w:val="24"/>
                <w:szCs w:val="24"/>
              </w:rPr>
            </w:pPr>
          </w:p>
        </w:tc>
      </w:tr>
      <w:tr w:rsidR="009923B4" w:rsidRPr="00FE464C" w:rsidTr="00CA3145">
        <w:trPr>
          <w:cantSplit/>
        </w:trPr>
        <w:tc>
          <w:tcPr>
            <w:tcW w:w="726" w:type="dxa"/>
            <w:vMerge w:val="restart"/>
            <w:tcBorders>
              <w:top w:val="double" w:sz="4" w:space="0" w:color="auto"/>
              <w:left w:val="double" w:sz="4" w:space="0" w:color="auto"/>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8"/>
                <w:szCs w:val="28"/>
              </w:rPr>
            </w:pPr>
            <w:r w:rsidRPr="007F678E">
              <w:rPr>
                <w:rFonts w:ascii="Times New Roman" w:eastAsia="仿宋_GB2312" w:hAnsi="Times New Roman" w:hint="eastAsia"/>
                <w:kern w:val="0"/>
                <w:sz w:val="28"/>
                <w:szCs w:val="28"/>
              </w:rPr>
              <w:t>专</w:t>
            </w:r>
          </w:p>
          <w:p w:rsidR="009923B4" w:rsidRPr="007F678E" w:rsidRDefault="009923B4" w:rsidP="00CA3145">
            <w:pPr>
              <w:widowControl/>
              <w:adjustRightInd w:val="0"/>
              <w:snapToGrid w:val="0"/>
              <w:jc w:val="center"/>
              <w:rPr>
                <w:rFonts w:ascii="Times New Roman" w:eastAsia="仿宋_GB2312" w:hAnsi="Times New Roman"/>
                <w:kern w:val="0"/>
                <w:sz w:val="28"/>
                <w:szCs w:val="28"/>
              </w:rPr>
            </w:pPr>
            <w:r w:rsidRPr="007F678E">
              <w:rPr>
                <w:rFonts w:ascii="Times New Roman" w:eastAsia="仿宋_GB2312" w:hAnsi="Times New Roman" w:hint="eastAsia"/>
                <w:kern w:val="0"/>
                <w:sz w:val="28"/>
                <w:szCs w:val="28"/>
              </w:rPr>
              <w:t>升</w:t>
            </w:r>
          </w:p>
          <w:p w:rsidR="009923B4" w:rsidRPr="007F678E" w:rsidRDefault="009923B4" w:rsidP="00CA3145">
            <w:pPr>
              <w:widowControl/>
              <w:adjustRightInd w:val="0"/>
              <w:snapToGrid w:val="0"/>
              <w:jc w:val="center"/>
              <w:rPr>
                <w:rFonts w:ascii="Times New Roman" w:eastAsia="仿宋_GB2312" w:hAnsi="Times New Roman"/>
                <w:kern w:val="0"/>
                <w:sz w:val="28"/>
                <w:szCs w:val="28"/>
              </w:rPr>
            </w:pPr>
            <w:r w:rsidRPr="007F678E">
              <w:rPr>
                <w:rFonts w:ascii="Times New Roman" w:eastAsia="仿宋_GB2312" w:hAnsi="Times New Roman" w:hint="eastAsia"/>
                <w:kern w:val="0"/>
                <w:sz w:val="28"/>
                <w:szCs w:val="28"/>
              </w:rPr>
              <w:t>本</w:t>
            </w:r>
          </w:p>
        </w:tc>
        <w:tc>
          <w:tcPr>
            <w:tcW w:w="1236" w:type="dxa"/>
            <w:tcBorders>
              <w:top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函授</w:t>
            </w:r>
          </w:p>
        </w:tc>
        <w:tc>
          <w:tcPr>
            <w:tcW w:w="1096" w:type="dxa"/>
            <w:tcBorders>
              <w:top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3</w:t>
            </w:r>
          </w:p>
        </w:tc>
        <w:tc>
          <w:tcPr>
            <w:tcW w:w="1445" w:type="dxa"/>
            <w:tcBorders>
              <w:top w:val="double" w:sz="4" w:space="0" w:color="auto"/>
            </w:tcBorders>
            <w:vAlign w:val="center"/>
          </w:tcPr>
          <w:p w:rsidR="009923B4" w:rsidRPr="007F678E" w:rsidRDefault="009923B4" w:rsidP="00CA3145">
            <w:pPr>
              <w:widowControl/>
              <w:adjustRightInd w:val="0"/>
              <w:snapToGrid w:val="0"/>
              <w:jc w:val="center"/>
              <w:rPr>
                <w:rFonts w:ascii="仿宋_GB2312" w:eastAsia="仿宋_GB2312" w:hAnsi="宋体"/>
                <w:kern w:val="0"/>
                <w:sz w:val="24"/>
                <w:szCs w:val="21"/>
              </w:rPr>
            </w:pPr>
            <w:r w:rsidRPr="007F678E">
              <w:rPr>
                <w:rFonts w:ascii="仿宋_GB2312" w:eastAsia="仿宋_GB2312" w:hAnsi="宋体"/>
                <w:kern w:val="0"/>
                <w:sz w:val="24"/>
                <w:szCs w:val="21"/>
              </w:rPr>
              <w:t>600</w:t>
            </w:r>
            <w:r w:rsidRPr="007F678E">
              <w:rPr>
                <w:rFonts w:ascii="仿宋_GB2312" w:eastAsia="仿宋_GB2312" w:hAnsi="宋体" w:hint="eastAsia"/>
                <w:kern w:val="0"/>
                <w:sz w:val="24"/>
                <w:szCs w:val="21"/>
              </w:rPr>
              <w:t>（面授）</w:t>
            </w:r>
          </w:p>
          <w:p w:rsidR="009923B4" w:rsidRPr="007F678E" w:rsidRDefault="009923B4" w:rsidP="00CA3145">
            <w:pPr>
              <w:widowControl/>
              <w:adjustRightInd w:val="0"/>
              <w:snapToGrid w:val="0"/>
              <w:jc w:val="center"/>
              <w:rPr>
                <w:rFonts w:ascii="仿宋_GB2312" w:eastAsia="仿宋_GB2312" w:hAnsi="宋体"/>
                <w:kern w:val="0"/>
                <w:sz w:val="24"/>
                <w:szCs w:val="21"/>
              </w:rPr>
            </w:pPr>
            <w:r w:rsidRPr="007F678E">
              <w:rPr>
                <w:rFonts w:ascii="仿宋_GB2312" w:eastAsia="仿宋_GB2312" w:hAnsi="宋体"/>
                <w:kern w:val="0"/>
                <w:sz w:val="24"/>
                <w:szCs w:val="21"/>
              </w:rPr>
              <w:t>1200</w:t>
            </w:r>
            <w:r w:rsidRPr="007F678E">
              <w:rPr>
                <w:rFonts w:ascii="仿宋_GB2312" w:eastAsia="仿宋_GB2312" w:hAnsi="宋体" w:hint="eastAsia"/>
                <w:kern w:val="0"/>
                <w:sz w:val="24"/>
                <w:szCs w:val="21"/>
              </w:rPr>
              <w:t>（自学）</w:t>
            </w:r>
          </w:p>
        </w:tc>
        <w:tc>
          <w:tcPr>
            <w:tcW w:w="1026" w:type="dxa"/>
            <w:tcBorders>
              <w:top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15</w:t>
            </w:r>
          </w:p>
        </w:tc>
        <w:tc>
          <w:tcPr>
            <w:tcW w:w="2338" w:type="dxa"/>
            <w:tcBorders>
              <w:top w:val="double" w:sz="4" w:space="0" w:color="auto"/>
            </w:tcBorders>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毕业实习不少于</w:t>
            </w:r>
            <w:r w:rsidRPr="007F678E">
              <w:rPr>
                <w:rFonts w:ascii="Times New Roman" w:eastAsia="仿宋_GB2312" w:hAnsi="Times New Roman"/>
                <w:kern w:val="0"/>
                <w:sz w:val="24"/>
                <w:szCs w:val="21"/>
              </w:rPr>
              <w:t>10</w:t>
            </w:r>
            <w:r w:rsidRPr="007F678E">
              <w:rPr>
                <w:rFonts w:ascii="Times New Roman" w:eastAsia="仿宋_GB2312" w:hAnsi="Times New Roman" w:hint="eastAsia"/>
                <w:kern w:val="0"/>
                <w:sz w:val="24"/>
                <w:szCs w:val="21"/>
              </w:rPr>
              <w:t>周（按面授</w:t>
            </w:r>
            <w:r w:rsidRPr="007F678E">
              <w:rPr>
                <w:rFonts w:ascii="Times New Roman" w:eastAsia="仿宋_GB2312" w:hAnsi="Times New Roman"/>
                <w:kern w:val="0"/>
                <w:sz w:val="24"/>
                <w:szCs w:val="21"/>
              </w:rPr>
              <w:t>50</w:t>
            </w:r>
            <w:r w:rsidRPr="007F678E">
              <w:rPr>
                <w:rFonts w:ascii="Times New Roman" w:eastAsia="仿宋_GB2312" w:hAnsi="Times New Roman" w:hint="eastAsia"/>
                <w:kern w:val="0"/>
                <w:sz w:val="24"/>
                <w:szCs w:val="21"/>
              </w:rPr>
              <w:t>学时计）</w:t>
            </w:r>
          </w:p>
        </w:tc>
        <w:tc>
          <w:tcPr>
            <w:tcW w:w="0" w:type="auto"/>
            <w:vMerge/>
            <w:tcBorders>
              <w:top w:val="double" w:sz="4" w:space="0" w:color="auto"/>
              <w:bottom w:val="double" w:sz="4" w:space="0" w:color="auto"/>
              <w:right w:val="double" w:sz="4" w:space="0" w:color="auto"/>
            </w:tcBorders>
            <w:vAlign w:val="center"/>
          </w:tcPr>
          <w:p w:rsidR="009923B4" w:rsidRPr="007F678E" w:rsidRDefault="009923B4" w:rsidP="00CA3145">
            <w:pPr>
              <w:widowControl/>
              <w:jc w:val="left"/>
              <w:rPr>
                <w:rFonts w:ascii="Times New Roman" w:eastAsia="仿宋_GB2312" w:hAnsi="Times New Roman"/>
                <w:kern w:val="0"/>
                <w:sz w:val="24"/>
                <w:szCs w:val="24"/>
              </w:rPr>
            </w:pPr>
          </w:p>
        </w:tc>
      </w:tr>
      <w:tr w:rsidR="009923B4" w:rsidRPr="00FE464C" w:rsidTr="00CA3145">
        <w:trPr>
          <w:cantSplit/>
        </w:trPr>
        <w:tc>
          <w:tcPr>
            <w:tcW w:w="0" w:type="auto"/>
            <w:vMerge/>
            <w:tcBorders>
              <w:top w:val="double" w:sz="4" w:space="0" w:color="auto"/>
              <w:left w:val="double" w:sz="4" w:space="0" w:color="auto"/>
              <w:bottom w:val="double" w:sz="4" w:space="0" w:color="auto"/>
            </w:tcBorders>
            <w:vAlign w:val="center"/>
          </w:tcPr>
          <w:p w:rsidR="009923B4" w:rsidRPr="007F678E" w:rsidRDefault="009923B4" w:rsidP="00CA3145">
            <w:pPr>
              <w:widowControl/>
              <w:jc w:val="left"/>
              <w:rPr>
                <w:rFonts w:ascii="Times New Roman" w:eastAsia="仿宋_GB2312" w:hAnsi="Times New Roman"/>
                <w:kern w:val="0"/>
                <w:sz w:val="28"/>
                <w:szCs w:val="28"/>
              </w:rPr>
            </w:pPr>
          </w:p>
        </w:tc>
        <w:tc>
          <w:tcPr>
            <w:tcW w:w="1236" w:type="dxa"/>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业余</w:t>
            </w:r>
          </w:p>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（夜大学）</w:t>
            </w:r>
          </w:p>
        </w:tc>
        <w:tc>
          <w:tcPr>
            <w:tcW w:w="1096" w:type="dxa"/>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3</w:t>
            </w:r>
          </w:p>
        </w:tc>
        <w:tc>
          <w:tcPr>
            <w:tcW w:w="1445" w:type="dxa"/>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1200</w:t>
            </w:r>
          </w:p>
        </w:tc>
        <w:tc>
          <w:tcPr>
            <w:tcW w:w="1026" w:type="dxa"/>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15</w:t>
            </w:r>
          </w:p>
        </w:tc>
        <w:tc>
          <w:tcPr>
            <w:tcW w:w="2338" w:type="dxa"/>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毕业实习不少于</w:t>
            </w:r>
            <w:r w:rsidRPr="007F678E">
              <w:rPr>
                <w:rFonts w:ascii="Times New Roman" w:eastAsia="仿宋_GB2312" w:hAnsi="Times New Roman"/>
                <w:kern w:val="0"/>
                <w:sz w:val="24"/>
                <w:szCs w:val="21"/>
              </w:rPr>
              <w:t>10</w:t>
            </w:r>
            <w:r w:rsidRPr="007F678E">
              <w:rPr>
                <w:rFonts w:ascii="Times New Roman" w:eastAsia="仿宋_GB2312" w:hAnsi="Times New Roman" w:hint="eastAsia"/>
                <w:kern w:val="0"/>
                <w:sz w:val="24"/>
                <w:szCs w:val="21"/>
              </w:rPr>
              <w:t>周（按</w:t>
            </w:r>
            <w:r w:rsidRPr="007F678E">
              <w:rPr>
                <w:rFonts w:ascii="Times New Roman" w:eastAsia="仿宋_GB2312" w:hAnsi="Times New Roman"/>
                <w:kern w:val="0"/>
                <w:sz w:val="24"/>
                <w:szCs w:val="21"/>
              </w:rPr>
              <w:t>120</w:t>
            </w:r>
            <w:r w:rsidRPr="007F678E">
              <w:rPr>
                <w:rFonts w:ascii="Times New Roman" w:eastAsia="仿宋_GB2312" w:hAnsi="Times New Roman" w:hint="eastAsia"/>
                <w:kern w:val="0"/>
                <w:sz w:val="24"/>
                <w:szCs w:val="21"/>
              </w:rPr>
              <w:t>学时计）</w:t>
            </w:r>
          </w:p>
        </w:tc>
        <w:tc>
          <w:tcPr>
            <w:tcW w:w="0" w:type="auto"/>
            <w:vMerge/>
            <w:tcBorders>
              <w:top w:val="double" w:sz="4" w:space="0" w:color="auto"/>
              <w:bottom w:val="double" w:sz="4" w:space="0" w:color="auto"/>
              <w:right w:val="double" w:sz="4" w:space="0" w:color="auto"/>
            </w:tcBorders>
            <w:vAlign w:val="center"/>
          </w:tcPr>
          <w:p w:rsidR="009923B4" w:rsidRPr="007F678E" w:rsidRDefault="009923B4" w:rsidP="00CA3145">
            <w:pPr>
              <w:widowControl/>
              <w:jc w:val="left"/>
              <w:rPr>
                <w:rFonts w:ascii="Times New Roman" w:eastAsia="仿宋_GB2312" w:hAnsi="Times New Roman"/>
                <w:kern w:val="0"/>
                <w:sz w:val="24"/>
                <w:szCs w:val="24"/>
              </w:rPr>
            </w:pPr>
          </w:p>
        </w:tc>
      </w:tr>
      <w:tr w:rsidR="009923B4" w:rsidRPr="00FE464C" w:rsidTr="00CA3145">
        <w:trPr>
          <w:cantSplit/>
        </w:trPr>
        <w:tc>
          <w:tcPr>
            <w:tcW w:w="0" w:type="auto"/>
            <w:vMerge/>
            <w:tcBorders>
              <w:top w:val="double" w:sz="4" w:space="0" w:color="auto"/>
              <w:left w:val="double" w:sz="4" w:space="0" w:color="auto"/>
              <w:bottom w:val="double" w:sz="4" w:space="0" w:color="auto"/>
            </w:tcBorders>
            <w:vAlign w:val="center"/>
          </w:tcPr>
          <w:p w:rsidR="009923B4" w:rsidRPr="007F678E" w:rsidRDefault="009923B4" w:rsidP="00CA3145">
            <w:pPr>
              <w:widowControl/>
              <w:jc w:val="left"/>
              <w:rPr>
                <w:rFonts w:ascii="Times New Roman" w:eastAsia="仿宋_GB2312" w:hAnsi="Times New Roman"/>
                <w:kern w:val="0"/>
                <w:sz w:val="28"/>
                <w:szCs w:val="28"/>
              </w:rPr>
            </w:pPr>
          </w:p>
        </w:tc>
        <w:tc>
          <w:tcPr>
            <w:tcW w:w="1236" w:type="dxa"/>
            <w:tcBorders>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脱产</w:t>
            </w:r>
          </w:p>
        </w:tc>
        <w:tc>
          <w:tcPr>
            <w:tcW w:w="1096" w:type="dxa"/>
            <w:tcBorders>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2</w:t>
            </w:r>
          </w:p>
        </w:tc>
        <w:tc>
          <w:tcPr>
            <w:tcW w:w="1445" w:type="dxa"/>
            <w:tcBorders>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1600</w:t>
            </w:r>
          </w:p>
        </w:tc>
        <w:tc>
          <w:tcPr>
            <w:tcW w:w="1026" w:type="dxa"/>
            <w:tcBorders>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15</w:t>
            </w:r>
          </w:p>
        </w:tc>
        <w:tc>
          <w:tcPr>
            <w:tcW w:w="2338" w:type="dxa"/>
            <w:tcBorders>
              <w:bottom w:val="double" w:sz="4" w:space="0" w:color="auto"/>
            </w:tcBorders>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毕业实习不少于</w:t>
            </w:r>
            <w:r w:rsidRPr="007F678E">
              <w:rPr>
                <w:rFonts w:ascii="Times New Roman" w:eastAsia="仿宋_GB2312" w:hAnsi="Times New Roman"/>
                <w:kern w:val="0"/>
                <w:sz w:val="24"/>
                <w:szCs w:val="21"/>
              </w:rPr>
              <w:t>10</w:t>
            </w:r>
            <w:r w:rsidRPr="007F678E">
              <w:rPr>
                <w:rFonts w:ascii="Times New Roman" w:eastAsia="仿宋_GB2312" w:hAnsi="Times New Roman" w:hint="eastAsia"/>
                <w:kern w:val="0"/>
                <w:sz w:val="24"/>
                <w:szCs w:val="21"/>
              </w:rPr>
              <w:t>周（按</w:t>
            </w:r>
            <w:r w:rsidRPr="007F678E">
              <w:rPr>
                <w:rFonts w:ascii="Times New Roman" w:eastAsia="仿宋_GB2312" w:hAnsi="Times New Roman"/>
                <w:kern w:val="0"/>
                <w:sz w:val="24"/>
                <w:szCs w:val="21"/>
              </w:rPr>
              <w:t>225</w:t>
            </w:r>
            <w:r w:rsidRPr="007F678E">
              <w:rPr>
                <w:rFonts w:ascii="Times New Roman" w:eastAsia="仿宋_GB2312" w:hAnsi="Times New Roman" w:hint="eastAsia"/>
                <w:kern w:val="0"/>
                <w:sz w:val="24"/>
                <w:szCs w:val="21"/>
              </w:rPr>
              <w:t>学时计）</w:t>
            </w:r>
          </w:p>
        </w:tc>
        <w:tc>
          <w:tcPr>
            <w:tcW w:w="0" w:type="auto"/>
            <w:vMerge/>
            <w:tcBorders>
              <w:top w:val="double" w:sz="4" w:space="0" w:color="auto"/>
              <w:bottom w:val="double" w:sz="4" w:space="0" w:color="auto"/>
              <w:right w:val="double" w:sz="4" w:space="0" w:color="auto"/>
            </w:tcBorders>
            <w:vAlign w:val="center"/>
          </w:tcPr>
          <w:p w:rsidR="009923B4" w:rsidRPr="007F678E" w:rsidRDefault="009923B4" w:rsidP="00CA3145">
            <w:pPr>
              <w:widowControl/>
              <w:jc w:val="left"/>
              <w:rPr>
                <w:rFonts w:ascii="Times New Roman" w:eastAsia="仿宋_GB2312" w:hAnsi="Times New Roman"/>
                <w:kern w:val="0"/>
                <w:sz w:val="24"/>
                <w:szCs w:val="24"/>
              </w:rPr>
            </w:pPr>
          </w:p>
        </w:tc>
      </w:tr>
      <w:tr w:rsidR="009923B4" w:rsidRPr="00FE464C" w:rsidTr="00CA3145">
        <w:trPr>
          <w:cantSplit/>
        </w:trPr>
        <w:tc>
          <w:tcPr>
            <w:tcW w:w="726" w:type="dxa"/>
            <w:vMerge w:val="restart"/>
            <w:tcBorders>
              <w:top w:val="double" w:sz="4" w:space="0" w:color="auto"/>
              <w:left w:val="double" w:sz="4" w:space="0" w:color="auto"/>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8"/>
                <w:szCs w:val="28"/>
              </w:rPr>
            </w:pPr>
            <w:r w:rsidRPr="007F678E">
              <w:rPr>
                <w:rFonts w:ascii="Times New Roman" w:eastAsia="仿宋_GB2312" w:hAnsi="Times New Roman" w:hint="eastAsia"/>
                <w:kern w:val="0"/>
                <w:sz w:val="28"/>
                <w:szCs w:val="28"/>
              </w:rPr>
              <w:t>高</w:t>
            </w:r>
          </w:p>
          <w:p w:rsidR="009923B4" w:rsidRPr="007F678E" w:rsidRDefault="009923B4" w:rsidP="00CA3145">
            <w:pPr>
              <w:widowControl/>
              <w:adjustRightInd w:val="0"/>
              <w:snapToGrid w:val="0"/>
              <w:jc w:val="center"/>
              <w:rPr>
                <w:rFonts w:ascii="Times New Roman" w:eastAsia="仿宋_GB2312" w:hAnsi="Times New Roman"/>
                <w:kern w:val="0"/>
                <w:sz w:val="28"/>
                <w:szCs w:val="28"/>
              </w:rPr>
            </w:pPr>
            <w:r w:rsidRPr="007F678E">
              <w:rPr>
                <w:rFonts w:ascii="Times New Roman" w:eastAsia="仿宋_GB2312" w:hAnsi="Times New Roman" w:hint="eastAsia"/>
                <w:kern w:val="0"/>
                <w:sz w:val="28"/>
                <w:szCs w:val="28"/>
              </w:rPr>
              <w:t>起</w:t>
            </w:r>
          </w:p>
          <w:p w:rsidR="009923B4" w:rsidRPr="007F678E" w:rsidRDefault="009923B4" w:rsidP="00CA3145">
            <w:pPr>
              <w:widowControl/>
              <w:adjustRightInd w:val="0"/>
              <w:snapToGrid w:val="0"/>
              <w:jc w:val="center"/>
              <w:rPr>
                <w:rFonts w:ascii="Times New Roman" w:eastAsia="仿宋_GB2312" w:hAnsi="Times New Roman"/>
                <w:kern w:val="0"/>
                <w:sz w:val="28"/>
                <w:szCs w:val="28"/>
              </w:rPr>
            </w:pPr>
            <w:r w:rsidRPr="007F678E">
              <w:rPr>
                <w:rFonts w:ascii="Times New Roman" w:eastAsia="仿宋_GB2312" w:hAnsi="Times New Roman" w:hint="eastAsia"/>
                <w:kern w:val="0"/>
                <w:sz w:val="28"/>
                <w:szCs w:val="28"/>
              </w:rPr>
              <w:t>本</w:t>
            </w:r>
          </w:p>
        </w:tc>
        <w:tc>
          <w:tcPr>
            <w:tcW w:w="1236" w:type="dxa"/>
            <w:tcBorders>
              <w:top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函授</w:t>
            </w:r>
          </w:p>
        </w:tc>
        <w:tc>
          <w:tcPr>
            <w:tcW w:w="1096" w:type="dxa"/>
            <w:tcBorders>
              <w:top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5</w:t>
            </w:r>
          </w:p>
        </w:tc>
        <w:tc>
          <w:tcPr>
            <w:tcW w:w="1445" w:type="dxa"/>
            <w:tcBorders>
              <w:top w:val="double" w:sz="4" w:space="0" w:color="auto"/>
            </w:tcBorders>
            <w:vAlign w:val="center"/>
          </w:tcPr>
          <w:p w:rsidR="009923B4" w:rsidRPr="007F678E" w:rsidRDefault="009923B4" w:rsidP="00CA3145">
            <w:pPr>
              <w:widowControl/>
              <w:adjustRightInd w:val="0"/>
              <w:snapToGrid w:val="0"/>
              <w:jc w:val="center"/>
              <w:rPr>
                <w:rFonts w:ascii="仿宋_GB2312" w:eastAsia="仿宋_GB2312" w:hAnsi="宋体"/>
                <w:kern w:val="0"/>
                <w:sz w:val="24"/>
                <w:szCs w:val="21"/>
              </w:rPr>
            </w:pPr>
            <w:r w:rsidRPr="007F678E">
              <w:rPr>
                <w:rFonts w:ascii="仿宋_GB2312" w:eastAsia="仿宋_GB2312" w:hAnsi="宋体"/>
                <w:kern w:val="0"/>
                <w:sz w:val="24"/>
                <w:szCs w:val="21"/>
              </w:rPr>
              <w:t>1000</w:t>
            </w:r>
            <w:r w:rsidRPr="007F678E">
              <w:rPr>
                <w:rFonts w:ascii="仿宋_GB2312" w:eastAsia="仿宋_GB2312" w:hAnsi="宋体" w:hint="eastAsia"/>
                <w:kern w:val="0"/>
                <w:sz w:val="24"/>
                <w:szCs w:val="21"/>
              </w:rPr>
              <w:t>（面授）</w:t>
            </w:r>
          </w:p>
          <w:p w:rsidR="009923B4" w:rsidRPr="007F678E" w:rsidRDefault="009923B4" w:rsidP="00CA3145">
            <w:pPr>
              <w:widowControl/>
              <w:adjustRightInd w:val="0"/>
              <w:snapToGrid w:val="0"/>
              <w:jc w:val="center"/>
              <w:rPr>
                <w:rFonts w:ascii="仿宋_GB2312" w:eastAsia="仿宋_GB2312" w:hAnsi="宋体"/>
                <w:kern w:val="0"/>
                <w:sz w:val="24"/>
                <w:szCs w:val="21"/>
              </w:rPr>
            </w:pPr>
            <w:r w:rsidRPr="007F678E">
              <w:rPr>
                <w:rFonts w:ascii="仿宋_GB2312" w:eastAsia="仿宋_GB2312" w:hAnsi="宋体"/>
                <w:kern w:val="0"/>
                <w:sz w:val="24"/>
                <w:szCs w:val="21"/>
              </w:rPr>
              <w:t>2000</w:t>
            </w:r>
            <w:r w:rsidRPr="007F678E">
              <w:rPr>
                <w:rFonts w:ascii="仿宋_GB2312" w:eastAsia="仿宋_GB2312" w:hAnsi="宋体" w:hint="eastAsia"/>
                <w:kern w:val="0"/>
                <w:sz w:val="24"/>
                <w:szCs w:val="21"/>
              </w:rPr>
              <w:t>（自学）</w:t>
            </w:r>
          </w:p>
        </w:tc>
        <w:tc>
          <w:tcPr>
            <w:tcW w:w="1026" w:type="dxa"/>
            <w:tcBorders>
              <w:top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30</w:t>
            </w:r>
          </w:p>
        </w:tc>
        <w:tc>
          <w:tcPr>
            <w:tcW w:w="2338" w:type="dxa"/>
            <w:tcBorders>
              <w:top w:val="double" w:sz="4" w:space="0" w:color="auto"/>
            </w:tcBorders>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毕业实习不少于</w:t>
            </w:r>
            <w:r w:rsidRPr="007F678E">
              <w:rPr>
                <w:rFonts w:ascii="Times New Roman" w:eastAsia="仿宋_GB2312" w:hAnsi="Times New Roman"/>
                <w:kern w:val="0"/>
                <w:sz w:val="24"/>
                <w:szCs w:val="21"/>
              </w:rPr>
              <w:t>20</w:t>
            </w:r>
            <w:r w:rsidRPr="007F678E">
              <w:rPr>
                <w:rFonts w:ascii="Times New Roman" w:eastAsia="仿宋_GB2312" w:hAnsi="Times New Roman" w:hint="eastAsia"/>
                <w:kern w:val="0"/>
                <w:sz w:val="24"/>
                <w:szCs w:val="21"/>
              </w:rPr>
              <w:t>周（按面授</w:t>
            </w:r>
            <w:r w:rsidRPr="007F678E">
              <w:rPr>
                <w:rFonts w:ascii="Times New Roman" w:eastAsia="仿宋_GB2312" w:hAnsi="Times New Roman"/>
                <w:kern w:val="0"/>
                <w:sz w:val="24"/>
                <w:szCs w:val="21"/>
              </w:rPr>
              <w:t>100</w:t>
            </w:r>
            <w:r w:rsidRPr="007F678E">
              <w:rPr>
                <w:rFonts w:ascii="Times New Roman" w:eastAsia="仿宋_GB2312" w:hAnsi="Times New Roman" w:hint="eastAsia"/>
                <w:kern w:val="0"/>
                <w:sz w:val="24"/>
                <w:szCs w:val="21"/>
              </w:rPr>
              <w:t>学时计）</w:t>
            </w:r>
          </w:p>
        </w:tc>
        <w:tc>
          <w:tcPr>
            <w:tcW w:w="0" w:type="auto"/>
            <w:vMerge/>
            <w:tcBorders>
              <w:top w:val="double" w:sz="4" w:space="0" w:color="auto"/>
              <w:bottom w:val="double" w:sz="4" w:space="0" w:color="auto"/>
              <w:right w:val="double" w:sz="4" w:space="0" w:color="auto"/>
            </w:tcBorders>
            <w:vAlign w:val="center"/>
          </w:tcPr>
          <w:p w:rsidR="009923B4" w:rsidRPr="007F678E" w:rsidRDefault="009923B4" w:rsidP="00CA3145">
            <w:pPr>
              <w:widowControl/>
              <w:jc w:val="left"/>
              <w:rPr>
                <w:rFonts w:ascii="Times New Roman" w:eastAsia="仿宋_GB2312" w:hAnsi="Times New Roman"/>
                <w:kern w:val="0"/>
                <w:sz w:val="24"/>
                <w:szCs w:val="24"/>
              </w:rPr>
            </w:pPr>
          </w:p>
        </w:tc>
      </w:tr>
      <w:tr w:rsidR="009923B4" w:rsidRPr="00FE464C" w:rsidTr="00CA3145">
        <w:trPr>
          <w:cantSplit/>
        </w:trPr>
        <w:tc>
          <w:tcPr>
            <w:tcW w:w="0" w:type="auto"/>
            <w:vMerge/>
            <w:tcBorders>
              <w:top w:val="double" w:sz="4" w:space="0" w:color="auto"/>
              <w:left w:val="double" w:sz="4" w:space="0" w:color="auto"/>
              <w:bottom w:val="double" w:sz="4" w:space="0" w:color="auto"/>
            </w:tcBorders>
            <w:vAlign w:val="center"/>
          </w:tcPr>
          <w:p w:rsidR="009923B4" w:rsidRPr="007F678E" w:rsidRDefault="009923B4" w:rsidP="00CA3145">
            <w:pPr>
              <w:widowControl/>
              <w:jc w:val="left"/>
              <w:rPr>
                <w:rFonts w:ascii="Times New Roman" w:eastAsia="仿宋_GB2312" w:hAnsi="Times New Roman"/>
                <w:kern w:val="0"/>
                <w:sz w:val="28"/>
                <w:szCs w:val="28"/>
              </w:rPr>
            </w:pPr>
          </w:p>
        </w:tc>
        <w:tc>
          <w:tcPr>
            <w:tcW w:w="1236" w:type="dxa"/>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业余</w:t>
            </w:r>
          </w:p>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（夜大学）</w:t>
            </w:r>
          </w:p>
        </w:tc>
        <w:tc>
          <w:tcPr>
            <w:tcW w:w="1096" w:type="dxa"/>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5</w:t>
            </w:r>
          </w:p>
        </w:tc>
        <w:tc>
          <w:tcPr>
            <w:tcW w:w="1445" w:type="dxa"/>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2000</w:t>
            </w:r>
          </w:p>
        </w:tc>
        <w:tc>
          <w:tcPr>
            <w:tcW w:w="1026" w:type="dxa"/>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30</w:t>
            </w:r>
          </w:p>
        </w:tc>
        <w:tc>
          <w:tcPr>
            <w:tcW w:w="2338" w:type="dxa"/>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毕业实习不少于</w:t>
            </w:r>
            <w:r w:rsidRPr="007F678E">
              <w:rPr>
                <w:rFonts w:ascii="Times New Roman" w:eastAsia="仿宋_GB2312" w:hAnsi="Times New Roman"/>
                <w:kern w:val="0"/>
                <w:sz w:val="24"/>
                <w:szCs w:val="21"/>
              </w:rPr>
              <w:t>20</w:t>
            </w:r>
            <w:r w:rsidRPr="007F678E">
              <w:rPr>
                <w:rFonts w:ascii="Times New Roman" w:eastAsia="仿宋_GB2312" w:hAnsi="Times New Roman" w:hint="eastAsia"/>
                <w:kern w:val="0"/>
                <w:sz w:val="24"/>
                <w:szCs w:val="21"/>
              </w:rPr>
              <w:t>周（按</w:t>
            </w:r>
            <w:r w:rsidRPr="007F678E">
              <w:rPr>
                <w:rFonts w:ascii="Times New Roman" w:eastAsia="仿宋_GB2312" w:hAnsi="Times New Roman"/>
                <w:kern w:val="0"/>
                <w:sz w:val="24"/>
                <w:szCs w:val="21"/>
              </w:rPr>
              <w:t>240</w:t>
            </w:r>
            <w:r w:rsidRPr="007F678E">
              <w:rPr>
                <w:rFonts w:ascii="Times New Roman" w:eastAsia="仿宋_GB2312" w:hAnsi="Times New Roman" w:hint="eastAsia"/>
                <w:kern w:val="0"/>
                <w:sz w:val="24"/>
                <w:szCs w:val="21"/>
              </w:rPr>
              <w:t>学时计）</w:t>
            </w:r>
          </w:p>
        </w:tc>
        <w:tc>
          <w:tcPr>
            <w:tcW w:w="0" w:type="auto"/>
            <w:vMerge/>
            <w:tcBorders>
              <w:top w:val="double" w:sz="4" w:space="0" w:color="auto"/>
              <w:bottom w:val="double" w:sz="4" w:space="0" w:color="auto"/>
              <w:right w:val="double" w:sz="4" w:space="0" w:color="auto"/>
            </w:tcBorders>
            <w:vAlign w:val="center"/>
          </w:tcPr>
          <w:p w:rsidR="009923B4" w:rsidRPr="007F678E" w:rsidRDefault="009923B4" w:rsidP="00CA3145">
            <w:pPr>
              <w:widowControl/>
              <w:jc w:val="left"/>
              <w:rPr>
                <w:rFonts w:ascii="Times New Roman" w:eastAsia="仿宋_GB2312" w:hAnsi="Times New Roman"/>
                <w:kern w:val="0"/>
                <w:sz w:val="24"/>
                <w:szCs w:val="24"/>
              </w:rPr>
            </w:pPr>
          </w:p>
        </w:tc>
      </w:tr>
      <w:tr w:rsidR="009923B4" w:rsidRPr="00FE464C" w:rsidTr="00CA3145">
        <w:trPr>
          <w:cantSplit/>
        </w:trPr>
        <w:tc>
          <w:tcPr>
            <w:tcW w:w="0" w:type="auto"/>
            <w:vMerge/>
            <w:tcBorders>
              <w:top w:val="double" w:sz="4" w:space="0" w:color="auto"/>
              <w:left w:val="double" w:sz="4" w:space="0" w:color="auto"/>
              <w:bottom w:val="double" w:sz="4" w:space="0" w:color="auto"/>
            </w:tcBorders>
            <w:vAlign w:val="center"/>
          </w:tcPr>
          <w:p w:rsidR="009923B4" w:rsidRPr="007F678E" w:rsidRDefault="009923B4" w:rsidP="00CA3145">
            <w:pPr>
              <w:widowControl/>
              <w:jc w:val="left"/>
              <w:rPr>
                <w:rFonts w:ascii="Times New Roman" w:eastAsia="仿宋_GB2312" w:hAnsi="Times New Roman"/>
                <w:kern w:val="0"/>
                <w:sz w:val="28"/>
                <w:szCs w:val="28"/>
              </w:rPr>
            </w:pPr>
          </w:p>
        </w:tc>
        <w:tc>
          <w:tcPr>
            <w:tcW w:w="1236" w:type="dxa"/>
            <w:tcBorders>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脱产</w:t>
            </w:r>
          </w:p>
        </w:tc>
        <w:tc>
          <w:tcPr>
            <w:tcW w:w="1096" w:type="dxa"/>
            <w:tcBorders>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4</w:t>
            </w:r>
          </w:p>
        </w:tc>
        <w:tc>
          <w:tcPr>
            <w:tcW w:w="1445" w:type="dxa"/>
            <w:tcBorders>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3200</w:t>
            </w:r>
          </w:p>
        </w:tc>
        <w:tc>
          <w:tcPr>
            <w:tcW w:w="1026" w:type="dxa"/>
            <w:tcBorders>
              <w:bottom w:val="double" w:sz="4" w:space="0" w:color="auto"/>
            </w:tcBorders>
            <w:vAlign w:val="center"/>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kern w:val="0"/>
                <w:sz w:val="24"/>
                <w:szCs w:val="21"/>
              </w:rPr>
              <w:t>30</w:t>
            </w:r>
          </w:p>
        </w:tc>
        <w:tc>
          <w:tcPr>
            <w:tcW w:w="2338" w:type="dxa"/>
            <w:tcBorders>
              <w:bottom w:val="double" w:sz="4" w:space="0" w:color="auto"/>
            </w:tcBorders>
          </w:tcPr>
          <w:p w:rsidR="009923B4" w:rsidRPr="007F678E" w:rsidRDefault="009923B4" w:rsidP="00CA3145">
            <w:pPr>
              <w:widowControl/>
              <w:adjustRightInd w:val="0"/>
              <w:snapToGrid w:val="0"/>
              <w:jc w:val="center"/>
              <w:rPr>
                <w:rFonts w:ascii="Times New Roman" w:eastAsia="仿宋_GB2312" w:hAnsi="Times New Roman"/>
                <w:kern w:val="0"/>
                <w:sz w:val="24"/>
                <w:szCs w:val="21"/>
              </w:rPr>
            </w:pPr>
            <w:r w:rsidRPr="007F678E">
              <w:rPr>
                <w:rFonts w:ascii="Times New Roman" w:eastAsia="仿宋_GB2312" w:hAnsi="Times New Roman" w:hint="eastAsia"/>
                <w:kern w:val="0"/>
                <w:sz w:val="24"/>
                <w:szCs w:val="21"/>
              </w:rPr>
              <w:t>毕业实习不少于</w:t>
            </w:r>
            <w:r w:rsidRPr="007F678E">
              <w:rPr>
                <w:rFonts w:ascii="Times New Roman" w:eastAsia="仿宋_GB2312" w:hAnsi="Times New Roman"/>
                <w:kern w:val="0"/>
                <w:sz w:val="24"/>
                <w:szCs w:val="21"/>
              </w:rPr>
              <w:t>20</w:t>
            </w:r>
            <w:r w:rsidRPr="007F678E">
              <w:rPr>
                <w:rFonts w:ascii="Times New Roman" w:eastAsia="仿宋_GB2312" w:hAnsi="Times New Roman" w:hint="eastAsia"/>
                <w:kern w:val="0"/>
                <w:sz w:val="24"/>
                <w:szCs w:val="21"/>
              </w:rPr>
              <w:t>周（按</w:t>
            </w:r>
            <w:r w:rsidRPr="007F678E">
              <w:rPr>
                <w:rFonts w:ascii="Times New Roman" w:eastAsia="仿宋_GB2312" w:hAnsi="Times New Roman"/>
                <w:kern w:val="0"/>
                <w:sz w:val="24"/>
                <w:szCs w:val="21"/>
              </w:rPr>
              <w:t>450</w:t>
            </w:r>
            <w:r w:rsidRPr="007F678E">
              <w:rPr>
                <w:rFonts w:ascii="Times New Roman" w:eastAsia="仿宋_GB2312" w:hAnsi="Times New Roman" w:hint="eastAsia"/>
                <w:kern w:val="0"/>
                <w:sz w:val="24"/>
                <w:szCs w:val="21"/>
              </w:rPr>
              <w:t>学时计）</w:t>
            </w:r>
          </w:p>
        </w:tc>
        <w:tc>
          <w:tcPr>
            <w:tcW w:w="0" w:type="auto"/>
            <w:vMerge/>
            <w:tcBorders>
              <w:top w:val="double" w:sz="4" w:space="0" w:color="auto"/>
              <w:bottom w:val="double" w:sz="4" w:space="0" w:color="auto"/>
              <w:right w:val="double" w:sz="4" w:space="0" w:color="auto"/>
            </w:tcBorders>
            <w:vAlign w:val="center"/>
          </w:tcPr>
          <w:p w:rsidR="009923B4" w:rsidRPr="007F678E" w:rsidRDefault="009923B4" w:rsidP="00CA3145">
            <w:pPr>
              <w:widowControl/>
              <w:jc w:val="left"/>
              <w:rPr>
                <w:rFonts w:ascii="Times New Roman" w:eastAsia="仿宋_GB2312" w:hAnsi="Times New Roman"/>
                <w:kern w:val="0"/>
                <w:sz w:val="24"/>
                <w:szCs w:val="24"/>
              </w:rPr>
            </w:pPr>
          </w:p>
        </w:tc>
      </w:tr>
    </w:tbl>
    <w:p w:rsidR="009923B4" w:rsidRPr="007F678E" w:rsidRDefault="009923B4" w:rsidP="009923B4">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hint="eastAsia"/>
          <w:kern w:val="0"/>
          <w:sz w:val="24"/>
          <w:szCs w:val="32"/>
        </w:rPr>
        <w:t>（三）专业设置条件</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kern w:val="0"/>
          <w:sz w:val="24"/>
          <w:szCs w:val="32"/>
        </w:rPr>
        <w:t>1.</w:t>
      </w:r>
      <w:r w:rsidRPr="007F678E">
        <w:rPr>
          <w:rFonts w:ascii="宋体" w:hAnsi="宋体" w:cs="宋体" w:hint="eastAsia"/>
          <w:kern w:val="0"/>
          <w:sz w:val="24"/>
          <w:szCs w:val="32"/>
        </w:rPr>
        <w:t>符合社会经济发展对人才的需求，有相对稳定的生源。</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kern w:val="0"/>
          <w:sz w:val="24"/>
          <w:szCs w:val="32"/>
        </w:rPr>
        <w:t>2.</w:t>
      </w:r>
      <w:r w:rsidRPr="007F678E">
        <w:rPr>
          <w:rFonts w:ascii="宋体" w:hAnsi="宋体" w:cs="宋体" w:hint="eastAsia"/>
          <w:kern w:val="0"/>
          <w:sz w:val="24"/>
          <w:szCs w:val="32"/>
        </w:rPr>
        <w:t>符合本校的学科定位、办学定位和学校总体发展规划，有利于发挥学校的专业优势。</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kern w:val="0"/>
          <w:sz w:val="24"/>
          <w:szCs w:val="32"/>
        </w:rPr>
        <w:t>3.</w:t>
      </w:r>
      <w:r w:rsidRPr="007F678E">
        <w:rPr>
          <w:rFonts w:ascii="宋体" w:hAnsi="宋体" w:cs="宋体" w:hint="eastAsia"/>
          <w:kern w:val="0"/>
          <w:sz w:val="24"/>
          <w:szCs w:val="32"/>
        </w:rPr>
        <w:t>应有副教授以上职称的教师担任专业负责人，具有</w:t>
      </w:r>
      <w:r w:rsidRPr="007F678E">
        <w:rPr>
          <w:rFonts w:ascii="宋体" w:hAnsi="宋体" w:cs="宋体"/>
          <w:kern w:val="0"/>
          <w:sz w:val="24"/>
          <w:szCs w:val="32"/>
        </w:rPr>
        <w:t>3</w:t>
      </w:r>
      <w:r w:rsidRPr="007F678E">
        <w:rPr>
          <w:rFonts w:ascii="宋体" w:hAnsi="宋体" w:cs="宋体" w:hint="eastAsia"/>
          <w:kern w:val="0"/>
          <w:sz w:val="24"/>
          <w:szCs w:val="32"/>
        </w:rPr>
        <w:t>名以上本专业学科背景的专业骨干和与办学规模相适应的专兼职师资队伍。</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kern w:val="0"/>
          <w:sz w:val="24"/>
          <w:szCs w:val="32"/>
        </w:rPr>
        <w:t>4.</w:t>
      </w:r>
      <w:r w:rsidRPr="007F678E">
        <w:rPr>
          <w:rFonts w:ascii="宋体" w:hAnsi="宋体" w:cs="宋体" w:hint="eastAsia"/>
          <w:kern w:val="0"/>
          <w:sz w:val="24"/>
          <w:szCs w:val="32"/>
        </w:rPr>
        <w:t>应有充裕的教学资源，有满足需要的校舍、实验室、实训基地、实习基地和图书文献资料。生均办学条件指标应达到教育部规定的要求。</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kern w:val="0"/>
          <w:sz w:val="24"/>
          <w:szCs w:val="32"/>
        </w:rPr>
        <w:t>5.</w:t>
      </w:r>
      <w:r w:rsidRPr="007F678E">
        <w:rPr>
          <w:rFonts w:ascii="宋体" w:hAnsi="宋体" w:cs="宋体" w:hint="eastAsia"/>
          <w:kern w:val="0"/>
          <w:sz w:val="24"/>
          <w:szCs w:val="32"/>
        </w:rPr>
        <w:t>应有相关专业完整的教学文件和配套管理制度。</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hint="eastAsia"/>
          <w:kern w:val="0"/>
          <w:sz w:val="24"/>
          <w:szCs w:val="32"/>
        </w:rPr>
        <w:t>（四）专业设置申报程序</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kern w:val="0"/>
          <w:sz w:val="24"/>
          <w:szCs w:val="32"/>
        </w:rPr>
        <w:t>1.</w:t>
      </w:r>
      <w:r w:rsidRPr="007F678E">
        <w:rPr>
          <w:rFonts w:ascii="宋体" w:hAnsi="宋体" w:cs="宋体" w:hint="eastAsia"/>
          <w:kern w:val="0"/>
          <w:sz w:val="24"/>
          <w:szCs w:val="32"/>
        </w:rPr>
        <w:t>人才需求调研。应对申报专业的人才现状、需求、规格要求、专业设置现状、招生就业等情况充分调研论证，结合本校办学条件，形成书面论证分析报告。</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kern w:val="0"/>
          <w:sz w:val="24"/>
          <w:szCs w:val="32"/>
        </w:rPr>
        <w:t>2.</w:t>
      </w:r>
      <w:r w:rsidRPr="007F678E">
        <w:rPr>
          <w:rFonts w:ascii="宋体" w:hAnsi="宋体" w:cs="宋体" w:hint="eastAsia"/>
          <w:kern w:val="0"/>
          <w:sz w:val="24"/>
          <w:szCs w:val="32"/>
        </w:rPr>
        <w:t>制订教学计划。完整的专业教学计划包括培养目标、培养规格、学制、办学形式、课程设置与主干课程说明、实践性教学环节安排、毕业论文（毕业设计）要求、教学计划进程表等。</w:t>
      </w:r>
    </w:p>
    <w:p w:rsidR="009923B4"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kern w:val="0"/>
          <w:sz w:val="24"/>
          <w:szCs w:val="32"/>
        </w:rPr>
        <w:t>3.</w:t>
      </w:r>
      <w:r w:rsidRPr="007F678E">
        <w:rPr>
          <w:rFonts w:ascii="宋体" w:hAnsi="宋体" w:cs="宋体" w:hint="eastAsia"/>
          <w:kern w:val="0"/>
          <w:sz w:val="24"/>
          <w:szCs w:val="32"/>
        </w:rPr>
        <w:t>专业指导委员会论证。组织学校专业指导委员会对拟增设专业的必要性、科学性、可行性进行充分论证，出具书面论证意见。申报的新增专业（办学形式、专业方向）需有</w:t>
      </w:r>
      <w:r w:rsidRPr="007F678E">
        <w:rPr>
          <w:rFonts w:ascii="宋体" w:hAnsi="宋体" w:cs="宋体"/>
          <w:kern w:val="0"/>
          <w:sz w:val="24"/>
          <w:szCs w:val="32"/>
        </w:rPr>
        <w:t>2/3</w:t>
      </w:r>
      <w:r w:rsidRPr="007F678E">
        <w:rPr>
          <w:rFonts w:ascii="宋体" w:hAnsi="宋体" w:cs="宋体" w:hint="eastAsia"/>
          <w:kern w:val="0"/>
          <w:sz w:val="24"/>
          <w:szCs w:val="32"/>
        </w:rPr>
        <w:t>以上专业指导委员会委员同意。专业指导委员会成员不少于</w:t>
      </w:r>
      <w:r w:rsidRPr="007F678E">
        <w:rPr>
          <w:rFonts w:ascii="宋体" w:hAnsi="宋体" w:cs="宋体"/>
          <w:kern w:val="0"/>
          <w:sz w:val="24"/>
          <w:szCs w:val="32"/>
        </w:rPr>
        <w:t>5</w:t>
      </w:r>
      <w:r w:rsidRPr="007F678E">
        <w:rPr>
          <w:rFonts w:ascii="宋体" w:hAnsi="宋体" w:cs="宋体" w:hint="eastAsia"/>
          <w:kern w:val="0"/>
          <w:sz w:val="24"/>
          <w:szCs w:val="32"/>
        </w:rPr>
        <w:t>人，其中至少有</w:t>
      </w:r>
      <w:r w:rsidRPr="007F678E">
        <w:rPr>
          <w:rFonts w:ascii="宋体" w:hAnsi="宋体" w:cs="宋体"/>
          <w:kern w:val="0"/>
          <w:sz w:val="24"/>
          <w:szCs w:val="32"/>
        </w:rPr>
        <w:t>2</w:t>
      </w:r>
      <w:r w:rsidRPr="007F678E">
        <w:rPr>
          <w:rFonts w:ascii="宋体" w:hAnsi="宋体" w:cs="宋体" w:hint="eastAsia"/>
          <w:kern w:val="0"/>
          <w:sz w:val="24"/>
          <w:szCs w:val="32"/>
        </w:rPr>
        <w:t>名校外专家。</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kern w:val="0"/>
          <w:sz w:val="24"/>
          <w:szCs w:val="32"/>
        </w:rPr>
        <w:t>4.</w:t>
      </w:r>
      <w:r w:rsidRPr="007F678E">
        <w:rPr>
          <w:rFonts w:ascii="宋体" w:hAnsi="宋体" w:cs="宋体" w:hint="eastAsia"/>
          <w:kern w:val="0"/>
          <w:sz w:val="24"/>
          <w:szCs w:val="32"/>
        </w:rPr>
        <w:t>报送申报材料。将经校长审签批准的专业申报材料，在相应时间报省教育厅。</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hint="eastAsia"/>
          <w:kern w:val="0"/>
          <w:sz w:val="24"/>
          <w:szCs w:val="32"/>
        </w:rPr>
        <w:t>（五）专业设置申报材料</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kern w:val="0"/>
          <w:sz w:val="24"/>
          <w:szCs w:val="32"/>
        </w:rPr>
        <w:t>1.</w:t>
      </w:r>
      <w:r w:rsidRPr="007F678E">
        <w:rPr>
          <w:rFonts w:ascii="宋体" w:hAnsi="宋体" w:cs="宋体" w:hint="eastAsia"/>
          <w:kern w:val="0"/>
          <w:sz w:val="24"/>
          <w:szCs w:val="32"/>
        </w:rPr>
        <w:t>高等学校增设成人高等教育专业（办学形式、专业方向）的请示</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kern w:val="0"/>
          <w:sz w:val="24"/>
          <w:szCs w:val="32"/>
        </w:rPr>
        <w:t>2.</w:t>
      </w:r>
      <w:r w:rsidRPr="007F678E">
        <w:rPr>
          <w:rFonts w:ascii="宋体" w:hAnsi="宋体" w:cs="宋体" w:hint="eastAsia"/>
          <w:kern w:val="0"/>
          <w:sz w:val="24"/>
          <w:szCs w:val="32"/>
        </w:rPr>
        <w:t>《江苏省成人高等教育新增专业（办学形式、专业方向）申报表》（详见附件，一式四份）</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kern w:val="0"/>
          <w:sz w:val="24"/>
          <w:szCs w:val="32"/>
        </w:rPr>
        <w:t>3.</w:t>
      </w:r>
      <w:r w:rsidRPr="007F678E">
        <w:rPr>
          <w:rFonts w:ascii="宋体" w:hAnsi="宋体" w:cs="宋体" w:hint="eastAsia"/>
          <w:kern w:val="0"/>
          <w:sz w:val="24"/>
          <w:szCs w:val="32"/>
        </w:rPr>
        <w:t>人才需求调研报告</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kern w:val="0"/>
          <w:sz w:val="24"/>
          <w:szCs w:val="32"/>
        </w:rPr>
        <w:t>4.</w:t>
      </w:r>
      <w:r w:rsidRPr="007F678E">
        <w:rPr>
          <w:rFonts w:ascii="宋体" w:hAnsi="宋体" w:cs="宋体" w:hint="eastAsia"/>
          <w:kern w:val="0"/>
          <w:sz w:val="24"/>
          <w:szCs w:val="32"/>
        </w:rPr>
        <w:t>教学计划</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hint="eastAsia"/>
          <w:kern w:val="0"/>
          <w:sz w:val="24"/>
          <w:szCs w:val="32"/>
        </w:rPr>
        <w:t>（六）专业设置申报时间</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hint="eastAsia"/>
          <w:kern w:val="0"/>
          <w:sz w:val="24"/>
          <w:szCs w:val="32"/>
        </w:rPr>
        <w:t>省教育厅每年向社会公布一次成人高等教育新增专业名单。请于</w:t>
      </w:r>
      <w:r w:rsidRPr="007F678E">
        <w:rPr>
          <w:rFonts w:ascii="宋体" w:hAnsi="宋体" w:cs="宋体"/>
          <w:kern w:val="0"/>
          <w:sz w:val="24"/>
          <w:szCs w:val="32"/>
        </w:rPr>
        <w:t>2010</w:t>
      </w:r>
      <w:r w:rsidRPr="007F678E">
        <w:rPr>
          <w:rFonts w:ascii="宋体" w:hAnsi="宋体" w:cs="宋体" w:hint="eastAsia"/>
          <w:kern w:val="0"/>
          <w:sz w:val="24"/>
          <w:szCs w:val="32"/>
        </w:rPr>
        <w:t>年</w:t>
      </w:r>
      <w:r w:rsidRPr="007F678E">
        <w:rPr>
          <w:rFonts w:ascii="宋体" w:hAnsi="宋体" w:cs="宋体"/>
          <w:kern w:val="0"/>
          <w:sz w:val="24"/>
          <w:szCs w:val="32"/>
        </w:rPr>
        <w:t>3</w:t>
      </w:r>
      <w:r w:rsidRPr="007F678E">
        <w:rPr>
          <w:rFonts w:ascii="宋体" w:hAnsi="宋体" w:cs="宋体" w:hint="eastAsia"/>
          <w:kern w:val="0"/>
          <w:sz w:val="24"/>
          <w:szCs w:val="32"/>
        </w:rPr>
        <w:t>月</w:t>
      </w:r>
      <w:r w:rsidRPr="007F678E">
        <w:rPr>
          <w:rFonts w:ascii="宋体" w:hAnsi="宋体" w:cs="宋体"/>
          <w:kern w:val="0"/>
          <w:sz w:val="24"/>
          <w:szCs w:val="32"/>
        </w:rPr>
        <w:t>15</w:t>
      </w:r>
      <w:r w:rsidRPr="007F678E">
        <w:rPr>
          <w:rFonts w:ascii="宋体" w:hAnsi="宋体" w:cs="宋体" w:hint="eastAsia"/>
          <w:kern w:val="0"/>
          <w:sz w:val="24"/>
          <w:szCs w:val="32"/>
        </w:rPr>
        <w:t>日上午十点前提交。</w:t>
      </w:r>
    </w:p>
    <w:p w:rsidR="009923B4" w:rsidRPr="007F678E" w:rsidRDefault="009923B4" w:rsidP="00B4322A">
      <w:pPr>
        <w:widowControl/>
        <w:adjustRightInd w:val="0"/>
        <w:snapToGrid w:val="0"/>
        <w:spacing w:line="360" w:lineRule="auto"/>
        <w:ind w:firstLineChars="200" w:firstLine="31680"/>
        <w:jc w:val="left"/>
        <w:rPr>
          <w:rFonts w:ascii="宋体" w:cs="宋体"/>
          <w:b/>
          <w:kern w:val="0"/>
          <w:sz w:val="28"/>
          <w:szCs w:val="32"/>
        </w:rPr>
      </w:pPr>
      <w:r w:rsidRPr="007F678E">
        <w:rPr>
          <w:rFonts w:ascii="宋体" w:hAnsi="宋体" w:cs="宋体" w:hint="eastAsia"/>
          <w:b/>
          <w:kern w:val="0"/>
          <w:sz w:val="28"/>
          <w:szCs w:val="32"/>
        </w:rPr>
        <w:t>四、专业管理</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hint="eastAsia"/>
          <w:kern w:val="0"/>
          <w:sz w:val="24"/>
          <w:szCs w:val="32"/>
        </w:rPr>
        <w:t>（一）各高校要从实际出发，制定成人高等教育专业建设的规划，并纳入学校总体发展规划。要不断加大对成人高等教育专业建设的投入，改善办学条件，为成教学员提供优质的教学资源，保证专业教学对仪器设备、图书资料、实验室和实习基地的需要。成人教育学费应主要用于成人教育教学、管理和招生工作。合理利用社会优质资源，与校外实习基地、教学点保持长期合作，以保证教学需要。</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hint="eastAsia"/>
          <w:kern w:val="0"/>
          <w:sz w:val="24"/>
          <w:szCs w:val="32"/>
        </w:rPr>
        <w:t>（二）建立省、校两级质量监控和激励机制。省教育厅将进一步发挥省成人高等教育教学指导委员会的作用，组织专家进行专业设置的论证，开展专业建设工作的指导、督促、检查。高校要建立和完善与专业建设相关的一整套教学管理文件和规章制度，建立成教评价、督导、监控机制，建立教学督导组织机构，优化评教、评学制度，制订教学质量评估指标体系，积极实施教学过程控制措施，及时反馈教学管理信息。</w:t>
      </w:r>
    </w:p>
    <w:p w:rsidR="009923B4" w:rsidRPr="007F678E" w:rsidRDefault="009923B4" w:rsidP="00B4322A">
      <w:pPr>
        <w:widowControl/>
        <w:adjustRightInd w:val="0"/>
        <w:snapToGrid w:val="0"/>
        <w:spacing w:line="360" w:lineRule="auto"/>
        <w:ind w:firstLineChars="200" w:firstLine="31680"/>
        <w:jc w:val="left"/>
        <w:rPr>
          <w:rFonts w:ascii="宋体" w:cs="宋体"/>
          <w:kern w:val="0"/>
          <w:sz w:val="24"/>
          <w:szCs w:val="32"/>
        </w:rPr>
      </w:pPr>
      <w:r w:rsidRPr="007F678E">
        <w:rPr>
          <w:rFonts w:ascii="宋体" w:hAnsi="宋体" w:cs="宋体" w:hint="eastAsia"/>
          <w:kern w:val="0"/>
          <w:sz w:val="24"/>
          <w:szCs w:val="32"/>
        </w:rPr>
        <w:t>（三）各高等学校要加快成人高等教育管理信息化进程。尽快建立成人高等教育专业建设的管理信息系统，提高成人高等教育管理工作的现代化水平。省教育厅将建立成人高等教育专业数据库，向社会公布各高校成人高等教育招生专业。</w:t>
      </w:r>
    </w:p>
    <w:p w:rsidR="009923B4" w:rsidRDefault="009923B4" w:rsidP="00B4322A">
      <w:r w:rsidRPr="007F678E">
        <w:rPr>
          <w:rFonts w:ascii="宋体" w:hAnsi="宋体" w:cs="宋体" w:hint="eastAsia"/>
          <w:kern w:val="0"/>
          <w:sz w:val="24"/>
          <w:szCs w:val="32"/>
        </w:rPr>
        <w:t>附件：江苏省成人高等教育新增专业（办学形式、专业方向）申报表</w:t>
      </w:r>
    </w:p>
    <w:sectPr w:rsidR="009923B4" w:rsidSect="00C335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宋体">
    <w:altName w:val="Dotum"/>
    <w:panose1 w:val="00000000000000000000"/>
    <w:charset w:val="86"/>
    <w:family w:val="auto"/>
    <w:notTrueType/>
    <w:pitch w:val="variable"/>
    <w:sig w:usb0="00000287" w:usb1="080E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678E"/>
    <w:rsid w:val="00194872"/>
    <w:rsid w:val="005C0468"/>
    <w:rsid w:val="007F678E"/>
    <w:rsid w:val="009923B4"/>
    <w:rsid w:val="00A338D7"/>
    <w:rsid w:val="00B4322A"/>
    <w:rsid w:val="00C3358A"/>
    <w:rsid w:val="00CA3145"/>
    <w:rsid w:val="00CE4AE0"/>
    <w:rsid w:val="00F10690"/>
    <w:rsid w:val="00FE46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58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6036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710</Words>
  <Characters>4048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cp:revision>
  <dcterms:created xsi:type="dcterms:W3CDTF">2012-10-22T06:54:00Z</dcterms:created>
  <dcterms:modified xsi:type="dcterms:W3CDTF">2012-10-23T08:52:00Z</dcterms:modified>
</cp:coreProperties>
</file>